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DB57" w14:textId="50620C6D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Na podlagi </w:t>
      </w:r>
      <w:r w:rsidR="00EC3FBE" w:rsidRPr="00A61367">
        <w:rPr>
          <w:rFonts w:ascii="Cambria" w:hAnsi="Cambria"/>
          <w:sz w:val="22"/>
          <w:szCs w:val="22"/>
        </w:rPr>
        <w:t xml:space="preserve">12. točke </w:t>
      </w:r>
      <w:r w:rsidR="0096195B" w:rsidRPr="00A61367">
        <w:rPr>
          <w:rFonts w:ascii="Cambria" w:hAnsi="Cambria"/>
          <w:sz w:val="22"/>
          <w:szCs w:val="22"/>
        </w:rPr>
        <w:t xml:space="preserve">prvega odstavka </w:t>
      </w:r>
      <w:r w:rsidR="00EC3FBE" w:rsidRPr="00A61367">
        <w:rPr>
          <w:rFonts w:ascii="Cambria" w:hAnsi="Cambria"/>
          <w:sz w:val="22"/>
          <w:szCs w:val="22"/>
        </w:rPr>
        <w:t>16</w:t>
      </w:r>
      <w:r w:rsidRPr="00A61367">
        <w:rPr>
          <w:rFonts w:ascii="Cambria" w:hAnsi="Cambria"/>
          <w:sz w:val="22"/>
          <w:szCs w:val="22"/>
        </w:rPr>
        <w:t xml:space="preserve">. člena </w:t>
      </w:r>
      <w:r w:rsidR="0096195B" w:rsidRPr="00A61367">
        <w:rPr>
          <w:rFonts w:ascii="Cambria" w:hAnsi="Cambria"/>
          <w:sz w:val="22"/>
          <w:szCs w:val="22"/>
        </w:rPr>
        <w:t xml:space="preserve">v zvezi s tretjim odstavkom 28. člena </w:t>
      </w:r>
      <w:r w:rsidRPr="00A61367">
        <w:rPr>
          <w:rFonts w:ascii="Cambria" w:hAnsi="Cambria"/>
          <w:sz w:val="22"/>
          <w:szCs w:val="22"/>
        </w:rPr>
        <w:t>Zakona o Radioteleviziji Slovenija</w:t>
      </w:r>
      <w:r w:rsidR="00EC3FBE" w:rsidRPr="00A61367">
        <w:rPr>
          <w:rFonts w:ascii="Cambria" w:hAnsi="Cambria"/>
          <w:sz w:val="22"/>
          <w:szCs w:val="22"/>
        </w:rPr>
        <w:t xml:space="preserve"> (Uradni list RS, št. </w:t>
      </w:r>
      <w:hyperlink r:id="rId6" w:tgtFrame="_blank" w:tooltip="Zakon o Radioteleviziji Slovenija (ZRTVS-1)" w:history="1">
        <w:r w:rsidR="00EC3FBE" w:rsidRPr="00A61367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96/05</w:t>
        </w:r>
      </w:hyperlink>
      <w:r w:rsidR="00EC3FBE" w:rsidRPr="00A61367">
        <w:rPr>
          <w:rFonts w:ascii="Cambria" w:hAnsi="Cambria"/>
          <w:sz w:val="22"/>
          <w:szCs w:val="22"/>
        </w:rPr>
        <w:t xml:space="preserve">, </w:t>
      </w:r>
      <w:hyperlink r:id="rId7" w:tgtFrame="_blank" w:tooltip="Zakon o spremembah in dopolnitvah Zakona o davčnem postopku (ZDavP-1B)" w:history="1">
        <w:r w:rsidR="00EC3FBE" w:rsidRPr="00A61367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109/05</w:t>
        </w:r>
      </w:hyperlink>
      <w:r w:rsidR="00EC3FBE" w:rsidRPr="00A61367">
        <w:rPr>
          <w:rFonts w:ascii="Cambria" w:hAnsi="Cambria"/>
          <w:sz w:val="22"/>
          <w:szCs w:val="22"/>
        </w:rPr>
        <w:t xml:space="preserve"> – ZDavP-1B, </w:t>
      </w:r>
      <w:hyperlink r:id="rId8" w:tgtFrame="_blank" w:tooltip="Odločba o razveljaviti drugega odstavka 15. člena Zakona o Radioteleviziji Slovenija" w:history="1">
        <w:r w:rsidR="00EC3FBE" w:rsidRPr="00A61367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105/06</w:t>
        </w:r>
      </w:hyperlink>
      <w:r w:rsidR="00EC3FBE" w:rsidRPr="00A61367">
        <w:rPr>
          <w:rFonts w:ascii="Cambria" w:hAnsi="Cambria"/>
          <w:sz w:val="22"/>
          <w:szCs w:val="22"/>
        </w:rPr>
        <w:t xml:space="preserve"> – </w:t>
      </w:r>
      <w:proofErr w:type="spellStart"/>
      <w:r w:rsidR="00EC3FBE" w:rsidRPr="00A61367">
        <w:rPr>
          <w:rFonts w:ascii="Cambria" w:hAnsi="Cambria"/>
          <w:sz w:val="22"/>
          <w:szCs w:val="22"/>
        </w:rPr>
        <w:t>odl</w:t>
      </w:r>
      <w:proofErr w:type="spellEnd"/>
      <w:r w:rsidR="00EC3FBE" w:rsidRPr="00A61367">
        <w:rPr>
          <w:rFonts w:ascii="Cambria" w:hAnsi="Cambria"/>
          <w:sz w:val="22"/>
          <w:szCs w:val="22"/>
        </w:rPr>
        <w:t xml:space="preserve">. US, </w:t>
      </w:r>
      <w:hyperlink r:id="rId9" w:tgtFrame="_blank" w:tooltip="Zakon o spremembah in dopolnitvah Zakona o izvrševanju proračunov Republike Slovenije za leti 2008 in 2009 (ZIPRS0809-B)" w:history="1">
        <w:r w:rsidR="00EC3FBE" w:rsidRPr="00A61367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26/09</w:t>
        </w:r>
      </w:hyperlink>
      <w:r w:rsidR="00EC3FBE" w:rsidRPr="00A61367">
        <w:rPr>
          <w:rFonts w:ascii="Cambria" w:hAnsi="Cambria"/>
          <w:sz w:val="22"/>
          <w:szCs w:val="22"/>
        </w:rPr>
        <w:t xml:space="preserve"> – ZIPRS0809-B, </w:t>
      </w:r>
      <w:hyperlink r:id="rId10" w:tgtFrame="_blank" w:tooltip="Zakon o spremembah Zakona o Radioteleviziji Slovenija (ZRTVS-1A)" w:history="1">
        <w:r w:rsidR="00EC3FBE" w:rsidRPr="00A61367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9/14</w:t>
        </w:r>
      </w:hyperlink>
      <w:r w:rsidR="00EC3FBE" w:rsidRPr="00A61367">
        <w:rPr>
          <w:rFonts w:ascii="Cambria" w:hAnsi="Cambria"/>
          <w:sz w:val="22"/>
          <w:szCs w:val="22"/>
        </w:rPr>
        <w:t xml:space="preserve">, </w:t>
      </w:r>
      <w:hyperlink r:id="rId11" w:tgtFrame="_blank" w:tooltip="Zakon o spremembah in dopolnitvah Zakona o Radioteleviziji Slovenija (ZRTVS-1B)" w:history="1">
        <w:r w:rsidR="00EC3FBE" w:rsidRPr="00A61367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163/22</w:t>
        </w:r>
      </w:hyperlink>
      <w:r w:rsidR="00EC3FBE" w:rsidRPr="00A61367">
        <w:rPr>
          <w:rFonts w:ascii="Cambria" w:hAnsi="Cambria"/>
          <w:sz w:val="22"/>
          <w:szCs w:val="22"/>
        </w:rPr>
        <w:t xml:space="preserve"> in </w:t>
      </w:r>
      <w:hyperlink r:id="rId12" w:tgtFrame="_blank" w:tooltip="Zakon o spremembah in dopolnitvah Zakona o Radioteleviziji Slovenija (ZRTVS-1C)" w:history="1">
        <w:r w:rsidR="00EC3FBE" w:rsidRPr="00A61367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112/25</w:t>
        </w:r>
      </w:hyperlink>
      <w:r w:rsidR="00EC3FBE" w:rsidRPr="00A61367">
        <w:rPr>
          <w:rFonts w:ascii="Cambria" w:hAnsi="Cambria"/>
          <w:sz w:val="22"/>
          <w:szCs w:val="22"/>
        </w:rPr>
        <w:t>)</w:t>
      </w:r>
      <w:r w:rsidRPr="00A61367">
        <w:rPr>
          <w:rFonts w:ascii="Cambria" w:hAnsi="Cambria"/>
          <w:sz w:val="22"/>
          <w:szCs w:val="22"/>
        </w:rPr>
        <w:t xml:space="preserve">, </w:t>
      </w:r>
      <w:r w:rsidR="00EC3FBE" w:rsidRPr="00A61367">
        <w:rPr>
          <w:rFonts w:ascii="Cambria" w:hAnsi="Cambria"/>
          <w:sz w:val="22"/>
          <w:szCs w:val="22"/>
        </w:rPr>
        <w:t>17</w:t>
      </w:r>
      <w:r w:rsidRPr="00A61367">
        <w:rPr>
          <w:rFonts w:ascii="Cambria" w:hAnsi="Cambria"/>
          <w:sz w:val="22"/>
          <w:szCs w:val="22"/>
        </w:rPr>
        <w:t xml:space="preserve">. člena Statuta </w:t>
      </w:r>
      <w:r w:rsidR="00EC3FBE" w:rsidRPr="00A61367">
        <w:rPr>
          <w:rFonts w:ascii="Cambria" w:hAnsi="Cambria"/>
          <w:sz w:val="22"/>
          <w:szCs w:val="22"/>
        </w:rPr>
        <w:t>javnega zavoda Radiotelevizija</w:t>
      </w:r>
      <w:r w:rsidRPr="00A61367">
        <w:rPr>
          <w:rFonts w:ascii="Cambria" w:hAnsi="Cambria"/>
          <w:sz w:val="22"/>
          <w:szCs w:val="22"/>
        </w:rPr>
        <w:t xml:space="preserve"> Slovenija</w:t>
      </w:r>
      <w:r w:rsidR="00EC3FBE" w:rsidRPr="00A61367">
        <w:rPr>
          <w:rFonts w:ascii="Cambria" w:hAnsi="Cambria"/>
          <w:sz w:val="22"/>
          <w:szCs w:val="22"/>
        </w:rPr>
        <w:t xml:space="preserve"> Uradni list RS, št. 23/24)</w:t>
      </w:r>
      <w:r w:rsidR="0096195B" w:rsidRPr="00A61367">
        <w:rPr>
          <w:rFonts w:ascii="Cambria" w:hAnsi="Cambria"/>
          <w:sz w:val="22"/>
          <w:szCs w:val="22"/>
        </w:rPr>
        <w:t xml:space="preserve"> in </w:t>
      </w:r>
      <w:r w:rsidRPr="00A61367">
        <w:rPr>
          <w:rFonts w:ascii="Cambria" w:hAnsi="Cambria"/>
          <w:sz w:val="22"/>
          <w:szCs w:val="22"/>
        </w:rPr>
        <w:t>Uredbe o sejninah in povračilih stroškov v javnih skladih,</w:t>
      </w:r>
      <w:r w:rsidR="0096195B" w:rsidRPr="00A61367">
        <w:rPr>
          <w:rFonts w:ascii="Cambria" w:hAnsi="Cambria"/>
          <w:sz w:val="22"/>
          <w:szCs w:val="22"/>
        </w:rPr>
        <w:t xml:space="preserve"> </w:t>
      </w:r>
      <w:r w:rsidRPr="00A61367">
        <w:rPr>
          <w:rFonts w:ascii="Cambria" w:hAnsi="Cambria"/>
          <w:sz w:val="22"/>
          <w:szCs w:val="22"/>
        </w:rPr>
        <w:t>javnih agencijah, javnih zavodih in javnih gospodarskih zavodih</w:t>
      </w:r>
      <w:r w:rsidR="0096195B" w:rsidRPr="00A61367">
        <w:rPr>
          <w:rFonts w:ascii="Cambria" w:hAnsi="Cambria"/>
          <w:sz w:val="22"/>
          <w:szCs w:val="22"/>
        </w:rPr>
        <w:t xml:space="preserve"> </w:t>
      </w:r>
      <w:r w:rsidR="00EC3FBE" w:rsidRPr="00A61367">
        <w:rPr>
          <w:rFonts w:ascii="Cambria" w:hAnsi="Cambria"/>
          <w:sz w:val="22"/>
          <w:szCs w:val="22"/>
        </w:rPr>
        <w:t>(Uradni list RS, št.</w:t>
      </w:r>
      <w:r w:rsidR="0096195B" w:rsidRPr="00A61367">
        <w:rPr>
          <w:rFonts w:ascii="Cambria" w:hAnsi="Cambria"/>
          <w:sz w:val="22"/>
          <w:szCs w:val="22"/>
        </w:rPr>
        <w:t xml:space="preserve"> </w:t>
      </w:r>
      <w:hyperlink r:id="rId13" w:tgtFrame="_blank" w:tooltip="Uredba o sejninah in povračilih stroškov v javnih skladih, javnih agencijah, javnih zavodih in javnih gospodarskih zavodih" w:history="1">
        <w:r w:rsidR="00EC3FBE" w:rsidRPr="00A61367">
          <w:rPr>
            <w:rFonts w:ascii="Cambria" w:hAnsi="Cambria"/>
            <w:sz w:val="22"/>
            <w:szCs w:val="22"/>
            <w:shd w:val="clear" w:color="auto" w:fill="FFFFFF"/>
          </w:rPr>
          <w:t>16/09</w:t>
        </w:r>
      </w:hyperlink>
      <w:r w:rsidR="00EC3FBE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14" w:tgtFrame="_blank" w:tooltip="Uredba o spremembi Uredbe o sejninah in povračilih stroškov v javnih skladih, javnih agencijah, javnih zavodih in javnih gospodarskih zavodih" w:history="1">
        <w:r w:rsidR="00EC3FBE" w:rsidRPr="00A61367">
          <w:rPr>
            <w:rFonts w:ascii="Cambria" w:hAnsi="Cambria"/>
            <w:sz w:val="22"/>
            <w:szCs w:val="22"/>
            <w:shd w:val="clear" w:color="auto" w:fill="FFFFFF"/>
          </w:rPr>
          <w:t>107/10</w:t>
        </w:r>
      </w:hyperlink>
      <w:r w:rsidR="00EC3FBE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15" w:tgtFrame="_blank" w:tooltip="Uredba o spremembi Uredbe o sejninah in povračilih stroškov v javnih skladih, javnih agencijah, javnih zavodih in javnih gospodarskih zavodih" w:history="1">
        <w:r w:rsidR="00EC3FBE" w:rsidRPr="00A61367">
          <w:rPr>
            <w:rFonts w:ascii="Cambria" w:hAnsi="Cambria"/>
            <w:sz w:val="22"/>
            <w:szCs w:val="22"/>
            <w:shd w:val="clear" w:color="auto" w:fill="FFFFFF"/>
          </w:rPr>
          <w:t>66/12</w:t>
        </w:r>
      </w:hyperlink>
      <w:r w:rsidR="00EC3FBE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16" w:tgtFrame="_blank" w:tooltip="Uredba o spremembah Uredbe o sejninah in povračilih stroškov v javnih skladih, javnih agencijah, javnih zavodih in javnih gospodarskih zavodih" w:history="1">
        <w:r w:rsidR="00EC3FBE" w:rsidRPr="00A61367">
          <w:rPr>
            <w:rFonts w:ascii="Cambria" w:hAnsi="Cambria"/>
            <w:sz w:val="22"/>
            <w:szCs w:val="22"/>
            <w:shd w:val="clear" w:color="auto" w:fill="FFFFFF"/>
          </w:rPr>
          <w:t>51/13</w:t>
        </w:r>
      </w:hyperlink>
      <w:r w:rsidR="00EC3FBE" w:rsidRPr="00A61367">
        <w:rPr>
          <w:rFonts w:ascii="Cambria" w:hAnsi="Cambria"/>
          <w:sz w:val="22"/>
          <w:szCs w:val="22"/>
        </w:rPr>
        <w:t xml:space="preserve"> </w:t>
      </w:r>
      <w:r w:rsidR="00EC3FBE" w:rsidRPr="00A61367">
        <w:rPr>
          <w:rFonts w:ascii="Cambria" w:hAnsi="Cambria"/>
          <w:sz w:val="22"/>
          <w:szCs w:val="22"/>
          <w:shd w:val="clear" w:color="auto" w:fill="FFFFFF"/>
        </w:rPr>
        <w:t xml:space="preserve">in </w:t>
      </w:r>
      <w:hyperlink r:id="rId17" w:tgtFrame="_blank" w:tooltip="Uredba o spremembah Uredbe o sejninah in povračilih stroškov v javnih skladih, javnih agencijah, javnih zavodih in javnih gospodarskih zavodih" w:history="1">
        <w:r w:rsidR="00EC3FBE" w:rsidRPr="00A61367">
          <w:rPr>
            <w:rFonts w:ascii="Cambria" w:hAnsi="Cambria"/>
            <w:sz w:val="22"/>
            <w:szCs w:val="22"/>
            <w:shd w:val="clear" w:color="auto" w:fill="FFFFFF"/>
          </w:rPr>
          <w:t>6/15</w:t>
        </w:r>
      </w:hyperlink>
      <w:r w:rsidR="00EC3FBE" w:rsidRPr="00A61367">
        <w:rPr>
          <w:rFonts w:ascii="Cambria" w:hAnsi="Cambria"/>
          <w:sz w:val="22"/>
          <w:szCs w:val="22"/>
        </w:rPr>
        <w:t xml:space="preserve">) Svet </w:t>
      </w:r>
      <w:r w:rsidR="006D37DC" w:rsidRPr="00A61367">
        <w:rPr>
          <w:rFonts w:ascii="Cambria" w:hAnsi="Cambria"/>
          <w:sz w:val="22"/>
          <w:szCs w:val="22"/>
        </w:rPr>
        <w:t>RTV Slovenija</w:t>
      </w:r>
      <w:r w:rsidRPr="00A61367">
        <w:rPr>
          <w:rFonts w:ascii="Cambria" w:hAnsi="Cambria"/>
          <w:sz w:val="22"/>
          <w:szCs w:val="22"/>
        </w:rPr>
        <w:t xml:space="preserve"> </w:t>
      </w:r>
      <w:r w:rsidR="006D37DC" w:rsidRPr="00A61367">
        <w:rPr>
          <w:rFonts w:ascii="Cambria" w:hAnsi="Cambria"/>
          <w:sz w:val="22"/>
          <w:szCs w:val="22"/>
        </w:rPr>
        <w:t>izdaja</w:t>
      </w:r>
    </w:p>
    <w:p w14:paraId="40C493F0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506C376D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sz w:val="22"/>
          <w:szCs w:val="22"/>
        </w:rPr>
      </w:pPr>
    </w:p>
    <w:p w14:paraId="288DA736" w14:textId="77777777" w:rsidR="0096195B" w:rsidRPr="00A61367" w:rsidRDefault="006D37D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P R A V I L N I K</w:t>
      </w:r>
    </w:p>
    <w:p w14:paraId="518DBB52" w14:textId="77777777" w:rsidR="0096195B" w:rsidRPr="00A61367" w:rsidRDefault="0096195B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61317E5C" w14:textId="6AB29113" w:rsidR="00D459EA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o sejninah in povračil</w:t>
      </w:r>
      <w:r w:rsidR="006D37DC" w:rsidRPr="00A61367">
        <w:rPr>
          <w:rFonts w:ascii="Cambria" w:hAnsi="Cambria"/>
          <w:b/>
          <w:sz w:val="22"/>
          <w:szCs w:val="22"/>
        </w:rPr>
        <w:t>ih</w:t>
      </w:r>
      <w:r w:rsidRPr="00A61367">
        <w:rPr>
          <w:rFonts w:ascii="Cambria" w:hAnsi="Cambria"/>
          <w:b/>
          <w:sz w:val="22"/>
          <w:szCs w:val="22"/>
        </w:rPr>
        <w:t xml:space="preserve"> drugih stroškov članom</w:t>
      </w:r>
      <w:r w:rsidR="00D4092D" w:rsidRPr="00A61367">
        <w:rPr>
          <w:rFonts w:ascii="Cambria" w:hAnsi="Cambria"/>
          <w:b/>
          <w:sz w:val="22"/>
          <w:szCs w:val="22"/>
        </w:rPr>
        <w:t xml:space="preserve"> </w:t>
      </w:r>
      <w:r w:rsidR="006D37DC" w:rsidRPr="00A61367">
        <w:rPr>
          <w:rFonts w:ascii="Cambria" w:hAnsi="Cambria"/>
          <w:b/>
          <w:sz w:val="22"/>
          <w:szCs w:val="22"/>
        </w:rPr>
        <w:t>Sveta</w:t>
      </w:r>
      <w:r w:rsidRPr="00A61367">
        <w:rPr>
          <w:rFonts w:ascii="Cambria" w:hAnsi="Cambria"/>
          <w:b/>
          <w:sz w:val="22"/>
          <w:szCs w:val="22"/>
        </w:rPr>
        <w:t xml:space="preserve"> RTV Slovenija</w:t>
      </w:r>
      <w:r w:rsidR="0096195B" w:rsidRPr="00A61367">
        <w:rPr>
          <w:rFonts w:ascii="Cambria" w:hAnsi="Cambria"/>
          <w:b/>
          <w:sz w:val="22"/>
          <w:szCs w:val="22"/>
        </w:rPr>
        <w:t xml:space="preserve"> in</w:t>
      </w:r>
      <w:r w:rsidRPr="00A61367">
        <w:rPr>
          <w:rFonts w:ascii="Cambria" w:hAnsi="Cambria"/>
          <w:b/>
          <w:sz w:val="22"/>
          <w:szCs w:val="22"/>
        </w:rPr>
        <w:t xml:space="preserve"> </w:t>
      </w:r>
      <w:r w:rsidR="006D37DC" w:rsidRPr="00A61367">
        <w:rPr>
          <w:rFonts w:ascii="Cambria" w:hAnsi="Cambria"/>
          <w:b/>
          <w:sz w:val="22"/>
          <w:szCs w:val="22"/>
        </w:rPr>
        <w:t xml:space="preserve">njegovih </w:t>
      </w:r>
      <w:r w:rsidRPr="00A61367">
        <w:rPr>
          <w:rFonts w:ascii="Cambria" w:hAnsi="Cambria"/>
          <w:b/>
          <w:sz w:val="22"/>
          <w:szCs w:val="22"/>
        </w:rPr>
        <w:t>delovnih teles</w:t>
      </w:r>
    </w:p>
    <w:p w14:paraId="4A922276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sz w:val="22"/>
          <w:szCs w:val="22"/>
        </w:rPr>
      </w:pPr>
    </w:p>
    <w:p w14:paraId="6340E03B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4AE72FB1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I. SPLOŠNI DOLOČBI</w:t>
      </w:r>
    </w:p>
    <w:p w14:paraId="2FA64707" w14:textId="77777777" w:rsidR="00EB3A3B" w:rsidRPr="00A61367" w:rsidRDefault="00EB3A3B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221D8799" w14:textId="40BD0CF1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1. člen</w:t>
      </w:r>
    </w:p>
    <w:p w14:paraId="61E7BA71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11E8744B" w14:textId="063FE7D2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Ta pravilnik </w:t>
      </w:r>
      <w:r w:rsidR="00EB3A3B" w:rsidRPr="00A61367">
        <w:rPr>
          <w:rFonts w:ascii="Cambria" w:hAnsi="Cambria"/>
          <w:sz w:val="22"/>
          <w:szCs w:val="22"/>
        </w:rPr>
        <w:t xml:space="preserve">določa </w:t>
      </w:r>
      <w:r w:rsidRPr="00A61367">
        <w:rPr>
          <w:rFonts w:ascii="Cambria" w:hAnsi="Cambria"/>
          <w:sz w:val="22"/>
          <w:szCs w:val="22"/>
        </w:rPr>
        <w:t xml:space="preserve">način izračuna višine sejnine, stroške, do povračila katerih je upravičen član </w:t>
      </w:r>
      <w:r w:rsidR="00EB3A3B" w:rsidRPr="00A61367">
        <w:rPr>
          <w:rFonts w:ascii="Cambria" w:hAnsi="Cambria"/>
          <w:sz w:val="22"/>
          <w:szCs w:val="22"/>
        </w:rPr>
        <w:t>Sveta</w:t>
      </w:r>
      <w:r w:rsidRPr="00A61367">
        <w:rPr>
          <w:rFonts w:ascii="Cambria" w:hAnsi="Cambria"/>
          <w:sz w:val="22"/>
          <w:szCs w:val="22"/>
        </w:rPr>
        <w:t xml:space="preserve"> RTV Slovenija</w:t>
      </w:r>
      <w:r w:rsidR="00755758" w:rsidRPr="00A61367">
        <w:rPr>
          <w:rFonts w:ascii="Cambria" w:hAnsi="Cambria"/>
          <w:sz w:val="22"/>
          <w:szCs w:val="22"/>
        </w:rPr>
        <w:t xml:space="preserve"> in</w:t>
      </w:r>
      <w:r w:rsidR="00D4092D" w:rsidRPr="00A61367">
        <w:rPr>
          <w:rFonts w:ascii="Cambria" w:hAnsi="Cambria"/>
          <w:sz w:val="22"/>
          <w:szCs w:val="22"/>
        </w:rPr>
        <w:t xml:space="preserve"> </w:t>
      </w:r>
      <w:r w:rsidR="00755758" w:rsidRPr="00A61367">
        <w:rPr>
          <w:rFonts w:ascii="Cambria" w:hAnsi="Cambria"/>
          <w:sz w:val="22"/>
          <w:szCs w:val="22"/>
        </w:rPr>
        <w:t xml:space="preserve">člani </w:t>
      </w:r>
      <w:r w:rsidR="00D4092D" w:rsidRPr="00A61367">
        <w:rPr>
          <w:rFonts w:ascii="Cambria" w:hAnsi="Cambria"/>
          <w:sz w:val="22"/>
          <w:szCs w:val="22"/>
        </w:rPr>
        <w:t xml:space="preserve">njegovih </w:t>
      </w:r>
      <w:r w:rsidRPr="00A61367">
        <w:rPr>
          <w:rFonts w:ascii="Cambria" w:hAnsi="Cambria"/>
          <w:sz w:val="22"/>
          <w:szCs w:val="22"/>
        </w:rPr>
        <w:t>delovnih teles</w:t>
      </w:r>
      <w:r w:rsidR="00D4092D" w:rsidRPr="00A61367">
        <w:rPr>
          <w:rFonts w:ascii="Cambria" w:hAnsi="Cambria"/>
          <w:sz w:val="22"/>
          <w:szCs w:val="22"/>
        </w:rPr>
        <w:t xml:space="preserve">, ter </w:t>
      </w:r>
      <w:r w:rsidRPr="00A61367">
        <w:rPr>
          <w:rFonts w:ascii="Cambria" w:hAnsi="Cambria"/>
          <w:sz w:val="22"/>
          <w:szCs w:val="22"/>
        </w:rPr>
        <w:t>postopek za izplačilo sejnine in povračila stroškov.</w:t>
      </w:r>
    </w:p>
    <w:p w14:paraId="1DC222A9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3BB876D3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2. člen</w:t>
      </w:r>
    </w:p>
    <w:p w14:paraId="2CB044CB" w14:textId="77777777" w:rsidR="00EB3A3B" w:rsidRPr="00A61367" w:rsidRDefault="00EB3A3B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2EB356CB" w14:textId="49897A87" w:rsidR="003D283C" w:rsidRPr="00A61367" w:rsidRDefault="00EB3A3B" w:rsidP="00A61367">
      <w:pPr>
        <w:pStyle w:val="NormalWeb"/>
        <w:spacing w:before="0" w:beforeAutospacing="0" w:after="0" w:afterAutospacing="0" w:line="260" w:lineRule="exact"/>
        <w:jc w:val="both"/>
        <w:rPr>
          <w:rFonts w:ascii="Cambria" w:hAnsi="Cambria" w:cs="Times New Roman"/>
          <w:color w:val="000000"/>
          <w:sz w:val="22"/>
          <w:szCs w:val="22"/>
        </w:rPr>
      </w:pPr>
      <w:r w:rsidRPr="00A61367">
        <w:rPr>
          <w:rFonts w:ascii="Cambria" w:hAnsi="Cambria" w:cs="Times New Roman"/>
          <w:color w:val="000000"/>
          <w:sz w:val="22"/>
          <w:szCs w:val="22"/>
        </w:rPr>
        <w:t>(1) Do sejnine in povračil</w:t>
      </w:r>
      <w:r w:rsidR="00523CCF" w:rsidRPr="00A61367">
        <w:rPr>
          <w:rFonts w:ascii="Cambria" w:hAnsi="Cambria" w:cs="Times New Roman"/>
          <w:color w:val="000000"/>
          <w:sz w:val="22"/>
          <w:szCs w:val="22"/>
        </w:rPr>
        <w:t>a</w:t>
      </w:r>
      <w:r w:rsidRPr="00A61367">
        <w:rPr>
          <w:rFonts w:ascii="Cambria" w:hAnsi="Cambria" w:cs="Times New Roman"/>
          <w:color w:val="000000"/>
          <w:sz w:val="22"/>
          <w:szCs w:val="22"/>
        </w:rPr>
        <w:t xml:space="preserve"> drugih stroškov, določenih s tem pravilnikom, </w:t>
      </w:r>
      <w:r w:rsidR="00772C96" w:rsidRPr="00A61367">
        <w:rPr>
          <w:rFonts w:ascii="Cambria" w:hAnsi="Cambria" w:cs="Times New Roman"/>
          <w:color w:val="000000"/>
          <w:sz w:val="22"/>
          <w:szCs w:val="22"/>
        </w:rPr>
        <w:t>je</w:t>
      </w:r>
      <w:r w:rsidRPr="00A61367">
        <w:rPr>
          <w:rFonts w:ascii="Cambria" w:hAnsi="Cambria" w:cs="Times New Roman"/>
          <w:color w:val="000000"/>
          <w:sz w:val="22"/>
          <w:szCs w:val="22"/>
        </w:rPr>
        <w:t xml:space="preserve"> upravičen </w:t>
      </w:r>
      <w:r w:rsidR="003D283C" w:rsidRPr="00A61367">
        <w:rPr>
          <w:rFonts w:ascii="Cambria" w:hAnsi="Cambria" w:cs="Times New Roman"/>
          <w:color w:val="000000"/>
          <w:sz w:val="22"/>
          <w:szCs w:val="22"/>
        </w:rPr>
        <w:t xml:space="preserve">član </w:t>
      </w:r>
      <w:r w:rsidRPr="00A61367">
        <w:rPr>
          <w:rFonts w:ascii="Cambria" w:hAnsi="Cambria" w:cs="Times New Roman"/>
          <w:color w:val="000000"/>
          <w:sz w:val="22"/>
          <w:szCs w:val="22"/>
        </w:rPr>
        <w:t xml:space="preserve">Sveta RTV Slovenija </w:t>
      </w:r>
      <w:r w:rsidR="003D283C" w:rsidRPr="00A61367">
        <w:rPr>
          <w:rFonts w:ascii="Cambria" w:hAnsi="Cambria" w:cs="Times New Roman"/>
          <w:color w:val="000000"/>
          <w:sz w:val="22"/>
          <w:szCs w:val="22"/>
        </w:rPr>
        <w:t>(v nadaljevanju: član).</w:t>
      </w:r>
    </w:p>
    <w:p w14:paraId="405C2BAA" w14:textId="77777777" w:rsidR="00EB3A3B" w:rsidRPr="00A61367" w:rsidRDefault="00EB3A3B" w:rsidP="00A61367">
      <w:pPr>
        <w:pStyle w:val="NormalWeb"/>
        <w:spacing w:before="0" w:beforeAutospacing="0" w:after="0" w:afterAutospacing="0" w:line="260" w:lineRule="exact"/>
        <w:jc w:val="both"/>
        <w:rPr>
          <w:rFonts w:ascii="Cambria" w:hAnsi="Cambria" w:cs="Times New Roman"/>
          <w:color w:val="000000"/>
          <w:sz w:val="22"/>
          <w:szCs w:val="22"/>
        </w:rPr>
      </w:pPr>
    </w:p>
    <w:p w14:paraId="41DE7E9C" w14:textId="77269ED1" w:rsidR="00EB3A3B" w:rsidRPr="00A61367" w:rsidRDefault="000A6A20" w:rsidP="00A61367">
      <w:pPr>
        <w:pStyle w:val="NormalWeb"/>
        <w:spacing w:before="0" w:beforeAutospacing="0" w:after="0" w:afterAutospacing="0" w:line="260" w:lineRule="exact"/>
        <w:jc w:val="both"/>
        <w:rPr>
          <w:rFonts w:ascii="Cambria" w:hAnsi="Cambria" w:cs="Times New Roman"/>
          <w:color w:val="000000"/>
          <w:sz w:val="22"/>
          <w:szCs w:val="22"/>
        </w:rPr>
      </w:pPr>
      <w:r w:rsidRPr="00A61367">
        <w:rPr>
          <w:rFonts w:ascii="Cambria" w:hAnsi="Cambria" w:cs="Times New Roman"/>
          <w:color w:val="000000"/>
          <w:sz w:val="22"/>
          <w:szCs w:val="22"/>
        </w:rPr>
        <w:t xml:space="preserve">(2) </w:t>
      </w:r>
      <w:r w:rsidR="003D283C" w:rsidRPr="00A61367">
        <w:rPr>
          <w:rFonts w:ascii="Cambria" w:hAnsi="Cambria" w:cs="Times New Roman"/>
          <w:color w:val="000000"/>
          <w:sz w:val="22"/>
          <w:szCs w:val="22"/>
        </w:rPr>
        <w:t xml:space="preserve">Član </w:t>
      </w:r>
      <w:r w:rsidR="00523CCF" w:rsidRPr="00A61367">
        <w:rPr>
          <w:rFonts w:ascii="Cambria" w:hAnsi="Cambria" w:cs="Times New Roman"/>
          <w:color w:val="000000"/>
          <w:sz w:val="22"/>
          <w:szCs w:val="22"/>
        </w:rPr>
        <w:t xml:space="preserve">prejme </w:t>
      </w:r>
      <w:r w:rsidR="003D283C" w:rsidRPr="00A61367">
        <w:rPr>
          <w:rFonts w:ascii="Cambria" w:hAnsi="Cambria" w:cs="Times New Roman"/>
          <w:color w:val="000000"/>
          <w:sz w:val="22"/>
          <w:szCs w:val="22"/>
        </w:rPr>
        <w:t>sejnino, ki vključuje plačilo za udeležbo na seji</w:t>
      </w:r>
      <w:r w:rsidR="00BD68D9" w:rsidRPr="00A61367">
        <w:rPr>
          <w:rFonts w:ascii="Cambria" w:hAnsi="Cambria" w:cs="Times New Roman"/>
          <w:color w:val="000000"/>
          <w:sz w:val="22"/>
          <w:szCs w:val="22"/>
        </w:rPr>
        <w:t xml:space="preserve"> Sveta RTV Slovenija</w:t>
      </w:r>
      <w:r w:rsidR="00D4092D" w:rsidRPr="00A61367">
        <w:rPr>
          <w:rFonts w:ascii="Cambria" w:hAnsi="Cambria" w:cs="Times New Roman"/>
          <w:color w:val="000000"/>
          <w:sz w:val="22"/>
          <w:szCs w:val="22"/>
        </w:rPr>
        <w:t xml:space="preserve"> oziroma na seji</w:t>
      </w:r>
      <w:r w:rsidR="00107A66" w:rsidRPr="00A61367">
        <w:rPr>
          <w:rFonts w:ascii="Cambria" w:hAnsi="Cambria" w:cs="Times New Roman"/>
          <w:color w:val="000000"/>
          <w:sz w:val="22"/>
          <w:szCs w:val="22"/>
        </w:rPr>
        <w:t xml:space="preserve"> njegovega</w:t>
      </w:r>
      <w:r w:rsidR="00D4092D" w:rsidRPr="00A61367">
        <w:rPr>
          <w:rFonts w:ascii="Cambria" w:hAnsi="Cambria" w:cs="Times New Roman"/>
          <w:color w:val="000000"/>
          <w:sz w:val="22"/>
          <w:szCs w:val="22"/>
        </w:rPr>
        <w:t xml:space="preserve"> </w:t>
      </w:r>
      <w:r w:rsidR="00BD68D9" w:rsidRPr="00A61367">
        <w:rPr>
          <w:rFonts w:ascii="Cambria" w:hAnsi="Cambria" w:cs="Times New Roman"/>
          <w:color w:val="000000"/>
          <w:sz w:val="22"/>
          <w:szCs w:val="22"/>
        </w:rPr>
        <w:t>delovne</w:t>
      </w:r>
      <w:r w:rsidR="00D4092D" w:rsidRPr="00A61367">
        <w:rPr>
          <w:rFonts w:ascii="Cambria" w:hAnsi="Cambria" w:cs="Times New Roman"/>
          <w:color w:val="000000"/>
          <w:sz w:val="22"/>
          <w:szCs w:val="22"/>
        </w:rPr>
        <w:t>ga</w:t>
      </w:r>
      <w:r w:rsidR="00BD68D9" w:rsidRPr="00A61367">
        <w:rPr>
          <w:rFonts w:ascii="Cambria" w:hAnsi="Cambria" w:cs="Times New Roman"/>
          <w:color w:val="000000"/>
          <w:sz w:val="22"/>
          <w:szCs w:val="22"/>
        </w:rPr>
        <w:t xml:space="preserve"> teles</w:t>
      </w:r>
      <w:r w:rsidR="00D4092D" w:rsidRPr="00A61367">
        <w:rPr>
          <w:rFonts w:ascii="Cambria" w:hAnsi="Cambria" w:cs="Times New Roman"/>
          <w:color w:val="000000"/>
          <w:sz w:val="22"/>
          <w:szCs w:val="22"/>
        </w:rPr>
        <w:t>a</w:t>
      </w:r>
      <w:r w:rsidR="00BD68D9" w:rsidRPr="00A61367">
        <w:rPr>
          <w:rFonts w:ascii="Cambria" w:hAnsi="Cambria" w:cs="Times New Roman"/>
          <w:color w:val="000000"/>
          <w:sz w:val="22"/>
          <w:szCs w:val="22"/>
        </w:rPr>
        <w:t xml:space="preserve"> (v nadaljnjem besedilu: seji Sveta RTV Slovenija)</w:t>
      </w:r>
      <w:r w:rsidR="003D283C" w:rsidRPr="00A61367">
        <w:rPr>
          <w:rFonts w:ascii="Cambria" w:hAnsi="Cambria" w:cs="Times New Roman"/>
          <w:color w:val="000000"/>
          <w:sz w:val="22"/>
          <w:szCs w:val="22"/>
        </w:rPr>
        <w:t xml:space="preserve">. Če se član ne udeleži seje </w:t>
      </w:r>
      <w:r w:rsidR="00523CCF" w:rsidRPr="00A61367">
        <w:rPr>
          <w:rFonts w:ascii="Cambria" w:hAnsi="Cambria" w:cs="Times New Roman"/>
          <w:color w:val="000000"/>
          <w:sz w:val="22"/>
          <w:szCs w:val="22"/>
        </w:rPr>
        <w:t>Sveta RTV Slovenija</w:t>
      </w:r>
      <w:r w:rsidR="003D283C" w:rsidRPr="00A61367">
        <w:rPr>
          <w:rFonts w:ascii="Cambria" w:hAnsi="Cambria" w:cs="Times New Roman"/>
          <w:color w:val="000000"/>
          <w:sz w:val="22"/>
          <w:szCs w:val="22"/>
        </w:rPr>
        <w:t xml:space="preserve">, </w:t>
      </w:r>
      <w:r w:rsidR="00523CCF" w:rsidRPr="00A61367">
        <w:rPr>
          <w:rFonts w:ascii="Cambria" w:hAnsi="Cambria" w:cs="Times New Roman"/>
          <w:color w:val="000000"/>
          <w:sz w:val="22"/>
          <w:szCs w:val="22"/>
        </w:rPr>
        <w:t xml:space="preserve">ni upravičen do </w:t>
      </w:r>
      <w:r w:rsidR="003D283C" w:rsidRPr="00A61367">
        <w:rPr>
          <w:rFonts w:ascii="Cambria" w:hAnsi="Cambria" w:cs="Times New Roman"/>
          <w:color w:val="000000"/>
          <w:sz w:val="22"/>
          <w:szCs w:val="22"/>
        </w:rPr>
        <w:t>sejnin</w:t>
      </w:r>
      <w:r w:rsidR="00523CCF" w:rsidRPr="00A61367">
        <w:rPr>
          <w:rFonts w:ascii="Cambria" w:hAnsi="Cambria" w:cs="Times New Roman"/>
          <w:color w:val="000000"/>
          <w:sz w:val="22"/>
          <w:szCs w:val="22"/>
        </w:rPr>
        <w:t>e in do drugih stroškov oziroma povračila drugih stroškov po tem pravilniku</w:t>
      </w:r>
      <w:r w:rsidRPr="00A61367">
        <w:rPr>
          <w:rFonts w:ascii="Cambria" w:hAnsi="Cambria" w:cs="Times New Roman"/>
          <w:color w:val="000000"/>
          <w:sz w:val="22"/>
          <w:szCs w:val="22"/>
        </w:rPr>
        <w:t>.</w:t>
      </w:r>
    </w:p>
    <w:p w14:paraId="3087FA22" w14:textId="77777777" w:rsidR="000A6A20" w:rsidRPr="00A61367" w:rsidRDefault="000A6A20" w:rsidP="00A61367">
      <w:pPr>
        <w:pStyle w:val="NormalWeb"/>
        <w:spacing w:before="0" w:beforeAutospacing="0" w:after="0" w:afterAutospacing="0" w:line="260" w:lineRule="exact"/>
        <w:jc w:val="both"/>
        <w:rPr>
          <w:rFonts w:ascii="Cambria" w:hAnsi="Cambria" w:cs="Times New Roman"/>
          <w:color w:val="000000"/>
          <w:sz w:val="22"/>
          <w:szCs w:val="22"/>
        </w:rPr>
      </w:pPr>
    </w:p>
    <w:p w14:paraId="1A4B9CE0" w14:textId="12AB7CB7" w:rsidR="003D283C" w:rsidRPr="00A61367" w:rsidRDefault="00EB3A3B" w:rsidP="00A61367">
      <w:pPr>
        <w:pStyle w:val="NormalWeb"/>
        <w:spacing w:before="0" w:beforeAutospacing="0" w:after="0" w:afterAutospacing="0" w:line="260" w:lineRule="exact"/>
        <w:jc w:val="both"/>
        <w:rPr>
          <w:rFonts w:ascii="Cambria" w:hAnsi="Cambria" w:cs="Times New Roman"/>
          <w:color w:val="000000"/>
          <w:sz w:val="22"/>
          <w:szCs w:val="22"/>
        </w:rPr>
      </w:pPr>
      <w:r w:rsidRPr="00A61367">
        <w:rPr>
          <w:rFonts w:ascii="Cambria" w:hAnsi="Cambria" w:cs="Times New Roman"/>
          <w:color w:val="000000"/>
          <w:sz w:val="22"/>
          <w:szCs w:val="22"/>
        </w:rPr>
        <w:t>(</w:t>
      </w:r>
      <w:r w:rsidR="000A6A20" w:rsidRPr="00A61367">
        <w:rPr>
          <w:rFonts w:ascii="Cambria" w:hAnsi="Cambria" w:cs="Times New Roman"/>
          <w:color w:val="000000"/>
          <w:sz w:val="22"/>
          <w:szCs w:val="22"/>
        </w:rPr>
        <w:t>3</w:t>
      </w:r>
      <w:r w:rsidRPr="00A61367">
        <w:rPr>
          <w:rFonts w:ascii="Cambria" w:hAnsi="Cambria" w:cs="Times New Roman"/>
          <w:color w:val="000000"/>
          <w:sz w:val="22"/>
          <w:szCs w:val="22"/>
        </w:rPr>
        <w:t xml:space="preserve">) </w:t>
      </w:r>
      <w:r w:rsidR="00523CCF" w:rsidRPr="00A61367">
        <w:rPr>
          <w:rFonts w:ascii="Cambria" w:hAnsi="Cambria" w:cs="Times New Roman"/>
          <w:color w:val="000000"/>
          <w:sz w:val="22"/>
          <w:szCs w:val="22"/>
        </w:rPr>
        <w:t>Drugi s</w:t>
      </w:r>
      <w:r w:rsidR="008A554C" w:rsidRPr="00A61367">
        <w:rPr>
          <w:rFonts w:ascii="Cambria" w:hAnsi="Cambria" w:cs="Times New Roman"/>
          <w:color w:val="000000"/>
          <w:sz w:val="22"/>
          <w:szCs w:val="22"/>
        </w:rPr>
        <w:t xml:space="preserve">troški oziroma povračilo </w:t>
      </w:r>
      <w:r w:rsidR="00523CCF" w:rsidRPr="00A61367">
        <w:rPr>
          <w:rFonts w:ascii="Cambria" w:hAnsi="Cambria" w:cs="Times New Roman"/>
          <w:color w:val="000000"/>
          <w:sz w:val="22"/>
          <w:szCs w:val="22"/>
        </w:rPr>
        <w:t xml:space="preserve">drugih </w:t>
      </w:r>
      <w:r w:rsidR="008A554C" w:rsidRPr="00A61367">
        <w:rPr>
          <w:rFonts w:ascii="Cambria" w:hAnsi="Cambria" w:cs="Times New Roman"/>
          <w:color w:val="000000"/>
          <w:sz w:val="22"/>
          <w:szCs w:val="22"/>
        </w:rPr>
        <w:t>stroškov, do katerih je član upravičen,</w:t>
      </w:r>
      <w:r w:rsidR="003D283C" w:rsidRPr="00A61367">
        <w:rPr>
          <w:rFonts w:ascii="Cambria" w:hAnsi="Cambria" w:cs="Times New Roman"/>
          <w:color w:val="000000"/>
          <w:sz w:val="22"/>
          <w:szCs w:val="22"/>
        </w:rPr>
        <w:t xml:space="preserve"> so izdatki, ki jih je imel član v zvezi z delom </w:t>
      </w:r>
      <w:r w:rsidR="00107A66" w:rsidRPr="00A61367">
        <w:rPr>
          <w:rFonts w:ascii="Cambria" w:hAnsi="Cambria" w:cs="Times New Roman"/>
          <w:color w:val="000000"/>
          <w:sz w:val="22"/>
          <w:szCs w:val="22"/>
        </w:rPr>
        <w:t xml:space="preserve">za </w:t>
      </w:r>
      <w:r w:rsidR="008A554C" w:rsidRPr="00A61367">
        <w:rPr>
          <w:rFonts w:ascii="Cambria" w:hAnsi="Cambria" w:cs="Times New Roman"/>
          <w:color w:val="000000"/>
          <w:sz w:val="22"/>
          <w:szCs w:val="22"/>
        </w:rPr>
        <w:t xml:space="preserve">Svet RTV Slovenija in </w:t>
      </w:r>
      <w:r w:rsidR="003D283C" w:rsidRPr="00A61367">
        <w:rPr>
          <w:rFonts w:ascii="Cambria" w:hAnsi="Cambria" w:cs="Times New Roman"/>
          <w:color w:val="000000"/>
          <w:sz w:val="22"/>
          <w:szCs w:val="22"/>
        </w:rPr>
        <w:t>za katere lahko zahteva povračilo v skladu z določbami tega pravilnika.</w:t>
      </w:r>
    </w:p>
    <w:p w14:paraId="61CDFB0A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36249B48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II. SEJNINA</w:t>
      </w:r>
    </w:p>
    <w:p w14:paraId="205A0E8E" w14:textId="77777777" w:rsidR="00EB3A3B" w:rsidRPr="00A61367" w:rsidRDefault="00EB3A3B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3565DB2B" w14:textId="06AC703A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3. člen</w:t>
      </w:r>
    </w:p>
    <w:p w14:paraId="1F95DB70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531010DB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>Sejnina je sestavljena iz stalnega in spremenljivega dela. Vsota obeh delov je polna višina redne sejnine (v nadaljnjem besedilu: redna sejnina), izražena v bruto znesku.</w:t>
      </w:r>
    </w:p>
    <w:p w14:paraId="2A63921A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48E8C28A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4. člen</w:t>
      </w:r>
    </w:p>
    <w:p w14:paraId="282142BA" w14:textId="77777777" w:rsidR="00EB3A3B" w:rsidRPr="00A61367" w:rsidRDefault="00EB3A3B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247C12D5" w14:textId="393CDDFC" w:rsidR="003D283C" w:rsidRPr="00A61367" w:rsidRDefault="00EB3A3B" w:rsidP="00A61367">
      <w:pPr>
        <w:spacing w:line="260" w:lineRule="exact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(1) </w:t>
      </w:r>
      <w:r w:rsidR="003D283C" w:rsidRPr="00A61367">
        <w:rPr>
          <w:rFonts w:ascii="Cambria" w:hAnsi="Cambria"/>
          <w:sz w:val="22"/>
          <w:szCs w:val="22"/>
        </w:rPr>
        <w:t xml:space="preserve">Stalni del sejnine znaša 50 evrov. </w:t>
      </w:r>
    </w:p>
    <w:p w14:paraId="46EB4208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0E340002" w14:textId="77777777" w:rsidR="008A554C" w:rsidRPr="00A61367" w:rsidRDefault="00EB3A3B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(2) </w:t>
      </w:r>
      <w:r w:rsidR="003D283C" w:rsidRPr="00A61367">
        <w:rPr>
          <w:rFonts w:ascii="Cambria" w:hAnsi="Cambria"/>
          <w:sz w:val="22"/>
          <w:szCs w:val="22"/>
        </w:rPr>
        <w:t xml:space="preserve">Spremenljivi del sejnine je seštevek: </w:t>
      </w:r>
    </w:p>
    <w:p w14:paraId="59686050" w14:textId="11473893" w:rsidR="008A554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>– dela sejnine</w:t>
      </w:r>
      <w:r w:rsidR="008A554C" w:rsidRPr="00A61367">
        <w:rPr>
          <w:rFonts w:ascii="Cambria" w:hAnsi="Cambria"/>
          <w:sz w:val="22"/>
          <w:szCs w:val="22"/>
        </w:rPr>
        <w:t xml:space="preserve"> A</w:t>
      </w:r>
      <w:r w:rsidRPr="00A61367">
        <w:rPr>
          <w:rFonts w:ascii="Cambria" w:hAnsi="Cambria"/>
          <w:sz w:val="22"/>
          <w:szCs w:val="22"/>
        </w:rPr>
        <w:t xml:space="preserve">, ki se nanaša na bilančno vsoto </w:t>
      </w:r>
      <w:r w:rsidR="008A554C" w:rsidRPr="00A61367">
        <w:rPr>
          <w:rFonts w:ascii="Cambria" w:hAnsi="Cambria"/>
          <w:sz w:val="22"/>
          <w:szCs w:val="22"/>
        </w:rPr>
        <w:t>javnega zavoda Radiotelevizija Slovenija (v nadaljnjem besedilu: RTV Slovenija) (aktiva skupaj)</w:t>
      </w:r>
      <w:r w:rsidRPr="00A61367">
        <w:rPr>
          <w:rFonts w:ascii="Cambria" w:hAnsi="Cambria"/>
          <w:sz w:val="22"/>
          <w:szCs w:val="22"/>
        </w:rPr>
        <w:t>;</w:t>
      </w:r>
    </w:p>
    <w:p w14:paraId="4A50FFC7" w14:textId="74522BD4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>– dela sejnine</w:t>
      </w:r>
      <w:r w:rsidR="008A554C" w:rsidRPr="00A61367">
        <w:rPr>
          <w:rFonts w:ascii="Cambria" w:hAnsi="Cambria"/>
          <w:sz w:val="22"/>
          <w:szCs w:val="22"/>
        </w:rPr>
        <w:t xml:space="preserve"> B</w:t>
      </w:r>
      <w:r w:rsidRPr="00A61367">
        <w:rPr>
          <w:rFonts w:ascii="Cambria" w:hAnsi="Cambria"/>
          <w:sz w:val="22"/>
          <w:szCs w:val="22"/>
        </w:rPr>
        <w:t>, ki se nanaša na število zaposlenih</w:t>
      </w:r>
      <w:r w:rsidR="008A554C" w:rsidRPr="00A61367">
        <w:rPr>
          <w:rFonts w:ascii="Cambria" w:hAnsi="Cambria"/>
          <w:sz w:val="22"/>
          <w:szCs w:val="22"/>
        </w:rPr>
        <w:t xml:space="preserve"> v RTV Slovenija</w:t>
      </w:r>
      <w:r w:rsidRPr="00A61367">
        <w:rPr>
          <w:rFonts w:ascii="Cambria" w:hAnsi="Cambria"/>
          <w:sz w:val="22"/>
          <w:szCs w:val="22"/>
        </w:rPr>
        <w:t>.</w:t>
      </w:r>
    </w:p>
    <w:p w14:paraId="20714B17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2641A092" w14:textId="6CE85CED" w:rsidR="008A554C" w:rsidRPr="00A61367" w:rsidRDefault="008A554C" w:rsidP="00A61367">
      <w:pPr>
        <w:spacing w:line="260" w:lineRule="exact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>(3) Dela A in B se izračunata na naslednji način:</w:t>
      </w:r>
    </w:p>
    <w:tbl>
      <w:tblPr>
        <w:tblW w:w="87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3234"/>
        <w:gridCol w:w="1119"/>
      </w:tblGrid>
      <w:tr w:rsidR="00B719EC" w:rsidRPr="00A61367" w14:paraId="5FF6DB4E" w14:textId="77777777" w:rsidTr="00B719EC">
        <w:trPr>
          <w:trHeight w:val="53"/>
        </w:trPr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EB9B56A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5717C12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A =</w:t>
            </w:r>
          </w:p>
        </w:tc>
      </w:tr>
      <w:tr w:rsidR="00B719EC" w:rsidRPr="00A61367" w14:paraId="3C9EFE79" w14:textId="77777777" w:rsidTr="00B719EC">
        <w:trPr>
          <w:trHeight w:val="585"/>
        </w:trPr>
        <w:tc>
          <w:tcPr>
            <w:tcW w:w="76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534A4B0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Če znesek bilančne vsote osebe javnega sektorja ob koncu preteklega poslovnega leta znaša: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F9EC2C4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 </w:t>
            </w:r>
          </w:p>
        </w:tc>
      </w:tr>
      <w:tr w:rsidR="00B719EC" w:rsidRPr="00A61367" w14:paraId="440B0EDC" w14:textId="77777777" w:rsidTr="00B719EC">
        <w:trPr>
          <w:trHeight w:val="258"/>
        </w:trPr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F7A3B31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F3DAAAE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do 4 milijone eurov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BC9B3FF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5,00 eurov</w:t>
            </w:r>
          </w:p>
        </w:tc>
      </w:tr>
      <w:tr w:rsidR="00B719EC" w:rsidRPr="00A61367" w14:paraId="45D98F9B" w14:textId="77777777" w:rsidTr="00B719EC">
        <w:trPr>
          <w:trHeight w:val="53"/>
        </w:trPr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745E3DD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nad 4 milijone eurov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F437C3C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do 40 milijonov eurov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B01F9D0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7,50 eura</w:t>
            </w:r>
          </w:p>
        </w:tc>
      </w:tr>
      <w:tr w:rsidR="00B719EC" w:rsidRPr="00A61367" w14:paraId="29E763B2" w14:textId="77777777" w:rsidTr="00B719EC">
        <w:trPr>
          <w:trHeight w:val="53"/>
        </w:trPr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6670EA4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nad 40 milijonov eurov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AA9818A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do 200 milijonov eurov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3DB94C6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10,00 eurov</w:t>
            </w:r>
          </w:p>
        </w:tc>
      </w:tr>
      <w:tr w:rsidR="00B719EC" w:rsidRPr="00A61367" w14:paraId="6D58E15A" w14:textId="77777777" w:rsidTr="00B719EC">
        <w:trPr>
          <w:trHeight w:val="53"/>
        </w:trPr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CE86F7E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nad 200 milijonov eurov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C0A07B7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do 400 milijonov eurov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7D6FA9B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12,50 eura</w:t>
            </w:r>
          </w:p>
        </w:tc>
      </w:tr>
      <w:tr w:rsidR="00B719EC" w:rsidRPr="00A61367" w14:paraId="469879E3" w14:textId="77777777" w:rsidTr="00B719EC">
        <w:trPr>
          <w:trHeight w:val="53"/>
        </w:trPr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5CA19C2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nad 400 milijonov eurov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54AD5DC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2FB1D1C" w14:textId="77777777" w:rsidR="008A554C" w:rsidRPr="00A61367" w:rsidRDefault="008A554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15,00 eurov</w:t>
            </w:r>
          </w:p>
        </w:tc>
      </w:tr>
    </w:tbl>
    <w:p w14:paraId="6288D493" w14:textId="77777777" w:rsidR="008A554C" w:rsidRPr="00A61367" w:rsidRDefault="008A554C" w:rsidP="00A61367">
      <w:pPr>
        <w:spacing w:line="260" w:lineRule="exact"/>
        <w:rPr>
          <w:rFonts w:ascii="Cambria" w:hAnsi="Cambria"/>
          <w:vanish/>
          <w:sz w:val="22"/>
          <w:szCs w:val="22"/>
        </w:rPr>
      </w:pPr>
    </w:p>
    <w:tbl>
      <w:tblPr>
        <w:tblW w:w="9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3753"/>
        <w:gridCol w:w="1063"/>
        <w:gridCol w:w="1063"/>
      </w:tblGrid>
      <w:tr w:rsidR="00B719EC" w:rsidRPr="00A61367" w14:paraId="31499F92" w14:textId="45230CA0" w:rsidTr="00B719EC">
        <w:trPr>
          <w:trHeight w:val="22"/>
        </w:trPr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65006CF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7221342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B =</w:t>
            </w:r>
          </w:p>
        </w:tc>
        <w:tc>
          <w:tcPr>
            <w:tcW w:w="1063" w:type="dxa"/>
          </w:tcPr>
          <w:p w14:paraId="6CA82CAA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</w:p>
        </w:tc>
      </w:tr>
      <w:tr w:rsidR="00B719EC" w:rsidRPr="00A61367" w14:paraId="12C5CD91" w14:textId="0AC66E19" w:rsidTr="00B719EC">
        <w:trPr>
          <w:trHeight w:val="22"/>
        </w:trPr>
        <w:tc>
          <w:tcPr>
            <w:tcW w:w="77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07B80A6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Če število zaposlenih v osebi javnega sektorja ob koncu preteklega poslovnega leta znaša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D034DA0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1063" w:type="dxa"/>
          </w:tcPr>
          <w:p w14:paraId="797A5DC4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</w:p>
        </w:tc>
      </w:tr>
      <w:tr w:rsidR="00B719EC" w:rsidRPr="00A61367" w14:paraId="00AEC04E" w14:textId="666C1A3E" w:rsidTr="00B719EC">
        <w:trPr>
          <w:trHeight w:val="22"/>
        </w:trPr>
        <w:tc>
          <w:tcPr>
            <w:tcW w:w="39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96BF05E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CF124EF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do 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A22B60C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2,50 eura</w:t>
            </w:r>
          </w:p>
        </w:tc>
        <w:tc>
          <w:tcPr>
            <w:tcW w:w="1063" w:type="dxa"/>
          </w:tcPr>
          <w:p w14:paraId="5C37A80B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</w:p>
        </w:tc>
      </w:tr>
      <w:tr w:rsidR="00B719EC" w:rsidRPr="00A61367" w14:paraId="10DF0E5D" w14:textId="5E36A0EF" w:rsidTr="00B719EC">
        <w:trPr>
          <w:trHeight w:val="22"/>
        </w:trPr>
        <w:tc>
          <w:tcPr>
            <w:tcW w:w="39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B1430EC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nad 30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0A5BD9A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do 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167A984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5,00 eurov</w:t>
            </w:r>
          </w:p>
        </w:tc>
        <w:tc>
          <w:tcPr>
            <w:tcW w:w="1063" w:type="dxa"/>
          </w:tcPr>
          <w:p w14:paraId="70C8E316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</w:p>
        </w:tc>
      </w:tr>
      <w:tr w:rsidR="00B719EC" w:rsidRPr="00A61367" w14:paraId="06797FB3" w14:textId="65BCC344" w:rsidTr="00B719EC">
        <w:trPr>
          <w:trHeight w:val="22"/>
        </w:trPr>
        <w:tc>
          <w:tcPr>
            <w:tcW w:w="39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836BE5B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nad 100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7318838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do 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2439A0B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7,50 eura</w:t>
            </w:r>
          </w:p>
        </w:tc>
        <w:tc>
          <w:tcPr>
            <w:tcW w:w="1063" w:type="dxa"/>
          </w:tcPr>
          <w:p w14:paraId="159C06B6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</w:p>
        </w:tc>
      </w:tr>
      <w:tr w:rsidR="00B719EC" w:rsidRPr="00A61367" w14:paraId="4648BB6A" w14:textId="1DBA2306" w:rsidTr="00B719EC">
        <w:trPr>
          <w:trHeight w:val="22"/>
        </w:trPr>
        <w:tc>
          <w:tcPr>
            <w:tcW w:w="39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E24B87C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nad 500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1C671AB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do 1.000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5039A72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10,00 eurov</w:t>
            </w:r>
          </w:p>
        </w:tc>
        <w:tc>
          <w:tcPr>
            <w:tcW w:w="1063" w:type="dxa"/>
          </w:tcPr>
          <w:p w14:paraId="08DE6BC8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</w:p>
        </w:tc>
      </w:tr>
      <w:tr w:rsidR="00B719EC" w:rsidRPr="00A61367" w14:paraId="21CC826C" w14:textId="57D99FE3" w:rsidTr="00B719EC">
        <w:trPr>
          <w:trHeight w:val="22"/>
        </w:trPr>
        <w:tc>
          <w:tcPr>
            <w:tcW w:w="39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F4AAD98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nad 1.000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EF28320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do 3.000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89D3379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12,50 eura</w:t>
            </w:r>
          </w:p>
        </w:tc>
        <w:tc>
          <w:tcPr>
            <w:tcW w:w="1063" w:type="dxa"/>
          </w:tcPr>
          <w:p w14:paraId="52D7A533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</w:p>
        </w:tc>
      </w:tr>
      <w:tr w:rsidR="00B719EC" w:rsidRPr="00A61367" w14:paraId="3F46F666" w14:textId="35E97849" w:rsidTr="00B719EC">
        <w:trPr>
          <w:trHeight w:val="22"/>
        </w:trPr>
        <w:tc>
          <w:tcPr>
            <w:tcW w:w="39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DB43E6E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nad 3.000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6CBC998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3019893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  <w:r w:rsidRPr="00A61367">
              <w:rPr>
                <w:rFonts w:ascii="Cambria" w:hAnsi="Cambria"/>
                <w:sz w:val="22"/>
                <w:szCs w:val="22"/>
              </w:rPr>
              <w:t>15,00 eurov</w:t>
            </w:r>
          </w:p>
        </w:tc>
        <w:tc>
          <w:tcPr>
            <w:tcW w:w="1063" w:type="dxa"/>
          </w:tcPr>
          <w:p w14:paraId="58B84B6E" w14:textId="77777777" w:rsidR="00B719EC" w:rsidRPr="00A61367" w:rsidRDefault="00B719EC" w:rsidP="00A61367">
            <w:pPr>
              <w:spacing w:line="260" w:lineRule="exac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CE6F4D1" w14:textId="77777777" w:rsidR="00B719EC" w:rsidRPr="00A61367" w:rsidRDefault="00B719E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05AF7496" w14:textId="751F2529" w:rsidR="00B719EC" w:rsidRPr="00A61367" w:rsidRDefault="00B719E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>(4) Svet RTV Slovenija izda letno obvestilo o višini spremenljivega dela sejnine za tekoče koledarsko leto do 31. januarja vsako leto. Obvestilo se objavi v Informatorju.</w:t>
      </w:r>
    </w:p>
    <w:p w14:paraId="72FF2987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41E91289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5. člen</w:t>
      </w:r>
    </w:p>
    <w:p w14:paraId="2578DA3A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2858AF59" w14:textId="5AD99791" w:rsidR="003D283C" w:rsidRPr="00A61367" w:rsidRDefault="00EB3A3B" w:rsidP="00A61367">
      <w:pPr>
        <w:spacing w:line="260" w:lineRule="exact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(1) </w:t>
      </w:r>
      <w:r w:rsidR="003D283C" w:rsidRPr="00A61367">
        <w:rPr>
          <w:rFonts w:ascii="Cambria" w:hAnsi="Cambria"/>
          <w:sz w:val="22"/>
          <w:szCs w:val="22"/>
        </w:rPr>
        <w:t>Višina redne sejnine, ki se izplačuje član</w:t>
      </w:r>
      <w:r w:rsidR="000A6A20" w:rsidRPr="00A61367">
        <w:rPr>
          <w:rFonts w:ascii="Cambria" w:hAnsi="Cambria"/>
          <w:sz w:val="22"/>
          <w:szCs w:val="22"/>
        </w:rPr>
        <w:t>u</w:t>
      </w:r>
      <w:r w:rsidR="003D283C" w:rsidRPr="00A61367">
        <w:rPr>
          <w:rFonts w:ascii="Cambria" w:hAnsi="Cambria"/>
          <w:sz w:val="22"/>
          <w:szCs w:val="22"/>
        </w:rPr>
        <w:t xml:space="preserve">, je odvisna od vrste dela </w:t>
      </w:r>
      <w:r w:rsidR="000A6A20" w:rsidRPr="00A61367">
        <w:rPr>
          <w:rFonts w:ascii="Cambria" w:hAnsi="Cambria"/>
          <w:sz w:val="22"/>
          <w:szCs w:val="22"/>
        </w:rPr>
        <w:t>Sveta RTV Slovenija</w:t>
      </w:r>
      <w:r w:rsidR="003D283C" w:rsidRPr="00A61367">
        <w:rPr>
          <w:rFonts w:ascii="Cambria" w:hAnsi="Cambria"/>
          <w:sz w:val="22"/>
          <w:szCs w:val="22"/>
        </w:rPr>
        <w:t xml:space="preserve">. </w:t>
      </w:r>
      <w:r w:rsidR="003D283C" w:rsidRPr="00A61367">
        <w:rPr>
          <w:rFonts w:ascii="Cambria" w:hAnsi="Cambria"/>
          <w:sz w:val="22"/>
          <w:szCs w:val="22"/>
        </w:rPr>
        <w:br/>
      </w:r>
    </w:p>
    <w:p w14:paraId="0E07069C" w14:textId="580A6147" w:rsidR="003D283C" w:rsidRPr="00A61367" w:rsidRDefault="00EB3A3B" w:rsidP="00A61367">
      <w:pPr>
        <w:spacing w:line="260" w:lineRule="exact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(2) </w:t>
      </w:r>
      <w:r w:rsidR="003D283C" w:rsidRPr="00A61367">
        <w:rPr>
          <w:rFonts w:ascii="Cambria" w:hAnsi="Cambria"/>
          <w:sz w:val="22"/>
          <w:szCs w:val="22"/>
        </w:rPr>
        <w:t xml:space="preserve">Član je upravičen do sejnine, če je sodeloval pri delu </w:t>
      </w:r>
      <w:r w:rsidR="000A6A20" w:rsidRPr="00A61367">
        <w:rPr>
          <w:rFonts w:ascii="Cambria" w:hAnsi="Cambria"/>
          <w:sz w:val="22"/>
          <w:szCs w:val="22"/>
        </w:rPr>
        <w:t xml:space="preserve">Sveta RTV Slovenija </w:t>
      </w:r>
      <w:r w:rsidR="003D283C" w:rsidRPr="00A61367">
        <w:rPr>
          <w:rFonts w:ascii="Cambria" w:hAnsi="Cambria"/>
          <w:sz w:val="22"/>
          <w:szCs w:val="22"/>
        </w:rPr>
        <w:t xml:space="preserve">na: </w:t>
      </w:r>
      <w:r w:rsidR="003D283C" w:rsidRPr="00A61367">
        <w:rPr>
          <w:rFonts w:ascii="Cambria" w:hAnsi="Cambria"/>
          <w:sz w:val="22"/>
          <w:szCs w:val="22"/>
        </w:rPr>
        <w:br/>
        <w:t xml:space="preserve">– redni ali izredni seji – v višini redne sejnine za vsako udeležbo na seji, </w:t>
      </w:r>
      <w:r w:rsidR="003D283C" w:rsidRPr="00A61367">
        <w:rPr>
          <w:rFonts w:ascii="Cambria" w:hAnsi="Cambria"/>
          <w:sz w:val="22"/>
          <w:szCs w:val="22"/>
        </w:rPr>
        <w:br/>
        <w:t>– dopisni seji – v višini 50</w:t>
      </w:r>
      <w:r w:rsidR="00107A66" w:rsidRPr="00A61367">
        <w:rPr>
          <w:rFonts w:ascii="Cambria" w:hAnsi="Cambria"/>
          <w:sz w:val="22"/>
          <w:szCs w:val="22"/>
        </w:rPr>
        <w:t xml:space="preserve"> </w:t>
      </w:r>
      <w:r w:rsidR="000A6A20" w:rsidRPr="00A61367">
        <w:rPr>
          <w:rFonts w:ascii="Cambria" w:hAnsi="Cambria"/>
          <w:sz w:val="22"/>
          <w:szCs w:val="22"/>
        </w:rPr>
        <w:t>odstotkov</w:t>
      </w:r>
      <w:r w:rsidR="003D283C" w:rsidRPr="00A61367">
        <w:rPr>
          <w:rFonts w:ascii="Cambria" w:hAnsi="Cambria"/>
          <w:sz w:val="22"/>
          <w:szCs w:val="22"/>
        </w:rPr>
        <w:t xml:space="preserve"> redne sejnine za vsako udeležbo na seji</w:t>
      </w:r>
      <w:r w:rsidR="00107A66" w:rsidRPr="00A61367">
        <w:rPr>
          <w:rFonts w:ascii="Cambria" w:hAnsi="Cambria"/>
          <w:sz w:val="22"/>
          <w:szCs w:val="22"/>
        </w:rPr>
        <w:t>.</w:t>
      </w:r>
    </w:p>
    <w:p w14:paraId="015BEF1F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3EF1304F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6. člen</w:t>
      </w:r>
    </w:p>
    <w:p w14:paraId="45D71B72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6844B410" w14:textId="5CC78C72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lastRenderedPageBreak/>
        <w:t xml:space="preserve">Predsednik </w:t>
      </w:r>
      <w:r w:rsidR="00772C96" w:rsidRPr="00A61367">
        <w:rPr>
          <w:rFonts w:ascii="Cambria" w:hAnsi="Cambria"/>
          <w:sz w:val="22"/>
          <w:szCs w:val="22"/>
        </w:rPr>
        <w:t xml:space="preserve">Sveta RTV Slovenija </w:t>
      </w:r>
      <w:r w:rsidRPr="00A61367">
        <w:rPr>
          <w:rFonts w:ascii="Cambria" w:hAnsi="Cambria"/>
          <w:sz w:val="22"/>
          <w:szCs w:val="22"/>
        </w:rPr>
        <w:t xml:space="preserve">je za pripravo in vodenje seje upravičen do sejnine v višini 130 odstotkov sejnine, do katere so upravičeni člani in je opredeljena v 4. členu </w:t>
      </w:r>
      <w:r w:rsidR="00C039D9" w:rsidRPr="00A61367">
        <w:rPr>
          <w:rFonts w:ascii="Cambria" w:hAnsi="Cambria"/>
          <w:sz w:val="22"/>
          <w:szCs w:val="22"/>
        </w:rPr>
        <w:t xml:space="preserve">tega </w:t>
      </w:r>
      <w:r w:rsidRPr="00A61367">
        <w:rPr>
          <w:rFonts w:ascii="Cambria" w:hAnsi="Cambria"/>
          <w:sz w:val="22"/>
          <w:szCs w:val="22"/>
        </w:rPr>
        <w:t xml:space="preserve">pravilnika. Če je zaradi odsotnosti </w:t>
      </w:r>
      <w:r w:rsidR="00772C96" w:rsidRPr="00A61367">
        <w:rPr>
          <w:rFonts w:ascii="Cambria" w:hAnsi="Cambria"/>
          <w:sz w:val="22"/>
          <w:szCs w:val="22"/>
        </w:rPr>
        <w:t xml:space="preserve">predsednika Sveta RTV Slovenija </w:t>
      </w:r>
      <w:r w:rsidRPr="00A61367">
        <w:rPr>
          <w:rFonts w:ascii="Cambria" w:hAnsi="Cambria"/>
          <w:sz w:val="22"/>
          <w:szCs w:val="22"/>
        </w:rPr>
        <w:t xml:space="preserve">vodil sejo </w:t>
      </w:r>
      <w:r w:rsidR="00772C96" w:rsidRPr="00A61367">
        <w:rPr>
          <w:rFonts w:ascii="Cambria" w:hAnsi="Cambria"/>
          <w:sz w:val="22"/>
          <w:szCs w:val="22"/>
        </w:rPr>
        <w:t xml:space="preserve">njegov </w:t>
      </w:r>
      <w:r w:rsidRPr="00A61367">
        <w:rPr>
          <w:rFonts w:ascii="Cambria" w:hAnsi="Cambria"/>
          <w:sz w:val="22"/>
          <w:szCs w:val="22"/>
        </w:rPr>
        <w:t>namestnik ali drug član, je ta upravičen do sejnine v enaki višini, kot bi jo prejel predsednik</w:t>
      </w:r>
      <w:r w:rsidR="00772C96" w:rsidRPr="00A61367">
        <w:rPr>
          <w:rFonts w:ascii="Cambria" w:hAnsi="Cambria"/>
          <w:sz w:val="22"/>
          <w:szCs w:val="22"/>
        </w:rPr>
        <w:t xml:space="preserve"> Sveta RTV Slovenija</w:t>
      </w:r>
      <w:r w:rsidRPr="00A61367">
        <w:rPr>
          <w:rFonts w:ascii="Cambria" w:hAnsi="Cambria"/>
          <w:sz w:val="22"/>
          <w:szCs w:val="22"/>
        </w:rPr>
        <w:t xml:space="preserve">, če bi vodil sejo. Določba prejšnjega stavka ne velja, če je </w:t>
      </w:r>
      <w:r w:rsidR="00772C96" w:rsidRPr="00A61367">
        <w:rPr>
          <w:rFonts w:ascii="Cambria" w:hAnsi="Cambria"/>
          <w:sz w:val="22"/>
          <w:szCs w:val="22"/>
        </w:rPr>
        <w:t xml:space="preserve">namestnik predsednika Sveta RTV Slovenija ali drug član </w:t>
      </w:r>
      <w:r w:rsidRPr="00A61367">
        <w:rPr>
          <w:rFonts w:ascii="Cambria" w:hAnsi="Cambria"/>
          <w:sz w:val="22"/>
          <w:szCs w:val="22"/>
        </w:rPr>
        <w:t xml:space="preserve">vodil sejo le deloma </w:t>
      </w:r>
      <w:r w:rsidR="00772C96" w:rsidRPr="00A61367">
        <w:rPr>
          <w:rFonts w:ascii="Cambria" w:hAnsi="Cambria"/>
          <w:sz w:val="22"/>
          <w:szCs w:val="22"/>
        </w:rPr>
        <w:t xml:space="preserve">(na primer </w:t>
      </w:r>
      <w:r w:rsidRPr="00A61367">
        <w:rPr>
          <w:rFonts w:ascii="Cambria" w:hAnsi="Cambria"/>
          <w:sz w:val="22"/>
          <w:szCs w:val="22"/>
        </w:rPr>
        <w:t>zaradi predčasnega odhoda predsednika</w:t>
      </w:r>
      <w:r w:rsidR="00772C96" w:rsidRPr="00A61367">
        <w:rPr>
          <w:rFonts w:ascii="Cambria" w:hAnsi="Cambria"/>
          <w:sz w:val="22"/>
          <w:szCs w:val="22"/>
        </w:rPr>
        <w:t xml:space="preserve"> Sveta RTV Slovenija)</w:t>
      </w:r>
      <w:r w:rsidRPr="00A61367">
        <w:rPr>
          <w:rFonts w:ascii="Cambria" w:hAnsi="Cambria"/>
          <w:sz w:val="22"/>
          <w:szCs w:val="22"/>
        </w:rPr>
        <w:t>.</w:t>
      </w:r>
    </w:p>
    <w:p w14:paraId="165AA9C8" w14:textId="77777777" w:rsidR="003D283C" w:rsidRPr="00A61367" w:rsidRDefault="003D283C" w:rsidP="00A61367">
      <w:pPr>
        <w:spacing w:line="260" w:lineRule="exact"/>
        <w:rPr>
          <w:rFonts w:ascii="Cambria" w:hAnsi="Cambria"/>
          <w:b/>
          <w:sz w:val="22"/>
          <w:szCs w:val="22"/>
        </w:rPr>
      </w:pPr>
    </w:p>
    <w:p w14:paraId="2F301F4B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III. POVRAČILA DRUGIH STROŠKOV</w:t>
      </w:r>
    </w:p>
    <w:p w14:paraId="642D5E94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3B9247E8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7. člen</w:t>
      </w:r>
    </w:p>
    <w:p w14:paraId="75DD5796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4775FA32" w14:textId="2D38240B" w:rsidR="003D283C" w:rsidRPr="00A61367" w:rsidRDefault="00EB3A3B" w:rsidP="00A61367">
      <w:pPr>
        <w:spacing w:line="260" w:lineRule="exact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(1) </w:t>
      </w:r>
      <w:r w:rsidR="003D283C" w:rsidRPr="00A61367">
        <w:rPr>
          <w:rFonts w:ascii="Cambria" w:hAnsi="Cambria"/>
          <w:sz w:val="22"/>
          <w:szCs w:val="22"/>
        </w:rPr>
        <w:t xml:space="preserve">Član je upravičen do povračil neto zneskov naslednjih stroškov: </w:t>
      </w:r>
      <w:r w:rsidR="003D283C" w:rsidRPr="00A61367">
        <w:rPr>
          <w:rFonts w:ascii="Cambria" w:hAnsi="Cambria"/>
          <w:sz w:val="22"/>
          <w:szCs w:val="22"/>
        </w:rPr>
        <w:br/>
        <w:t xml:space="preserve">– dnevnice, </w:t>
      </w:r>
      <w:r w:rsidR="003D283C" w:rsidRPr="00A61367">
        <w:rPr>
          <w:rFonts w:ascii="Cambria" w:hAnsi="Cambria"/>
          <w:sz w:val="22"/>
          <w:szCs w:val="22"/>
        </w:rPr>
        <w:br/>
        <w:t xml:space="preserve">– prevoznih stroškov in </w:t>
      </w:r>
      <w:r w:rsidR="003D283C" w:rsidRPr="00A61367">
        <w:rPr>
          <w:rFonts w:ascii="Cambria" w:hAnsi="Cambria"/>
          <w:sz w:val="22"/>
          <w:szCs w:val="22"/>
        </w:rPr>
        <w:br/>
        <w:t xml:space="preserve">– stroškov za prenočišče. </w:t>
      </w:r>
      <w:r w:rsidR="003D283C" w:rsidRPr="00A61367">
        <w:rPr>
          <w:rFonts w:ascii="Cambria" w:hAnsi="Cambria"/>
          <w:sz w:val="22"/>
          <w:szCs w:val="22"/>
        </w:rPr>
        <w:br/>
      </w:r>
    </w:p>
    <w:p w14:paraId="140C2ECD" w14:textId="3430188C" w:rsidR="003D283C" w:rsidRPr="00A61367" w:rsidRDefault="00EB3A3B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(2) </w:t>
      </w:r>
      <w:r w:rsidR="003D283C" w:rsidRPr="00A61367">
        <w:rPr>
          <w:rFonts w:ascii="Cambria" w:hAnsi="Cambria"/>
          <w:sz w:val="22"/>
          <w:szCs w:val="22"/>
        </w:rPr>
        <w:t>Član</w:t>
      </w:r>
      <w:r w:rsidR="00523CCF" w:rsidRPr="00A61367">
        <w:rPr>
          <w:rFonts w:ascii="Cambria" w:hAnsi="Cambria"/>
          <w:sz w:val="22"/>
          <w:szCs w:val="22"/>
        </w:rPr>
        <w:t xml:space="preserve">, ki je v Svet RTV Slovenija imenovan kot predstavnik zaposlenih, </w:t>
      </w:r>
      <w:r w:rsidR="003D283C" w:rsidRPr="00A61367">
        <w:rPr>
          <w:rFonts w:ascii="Cambria" w:hAnsi="Cambria"/>
          <w:sz w:val="22"/>
          <w:szCs w:val="22"/>
        </w:rPr>
        <w:t xml:space="preserve">lahko opravlja delo v </w:t>
      </w:r>
      <w:r w:rsidR="00523CCF" w:rsidRPr="00A61367">
        <w:rPr>
          <w:rFonts w:ascii="Cambria" w:hAnsi="Cambria"/>
          <w:sz w:val="22"/>
          <w:szCs w:val="22"/>
        </w:rPr>
        <w:t xml:space="preserve">Svetu RTV Slovenija </w:t>
      </w:r>
      <w:r w:rsidR="003D283C" w:rsidRPr="00A61367">
        <w:rPr>
          <w:rFonts w:ascii="Cambria" w:hAnsi="Cambria"/>
          <w:sz w:val="22"/>
          <w:szCs w:val="22"/>
        </w:rPr>
        <w:t xml:space="preserve">samo izven rednega delovnega časa. Če delo v </w:t>
      </w:r>
      <w:r w:rsidR="00BD68D9" w:rsidRPr="00A61367">
        <w:rPr>
          <w:rFonts w:ascii="Cambria" w:hAnsi="Cambria"/>
          <w:sz w:val="22"/>
          <w:szCs w:val="22"/>
        </w:rPr>
        <w:t xml:space="preserve">Svetu RTV Slovenija </w:t>
      </w:r>
      <w:r w:rsidR="003D283C" w:rsidRPr="00A61367">
        <w:rPr>
          <w:rFonts w:ascii="Cambria" w:hAnsi="Cambria"/>
          <w:sz w:val="22"/>
          <w:szCs w:val="22"/>
        </w:rPr>
        <w:t>opravlja med rednim delovnim časom, mora koristiti dopust oziroma presežek ur ali nadur.</w:t>
      </w:r>
    </w:p>
    <w:p w14:paraId="150B8788" w14:textId="77777777" w:rsidR="00EB3A3B" w:rsidRPr="00A61367" w:rsidRDefault="00EB3A3B" w:rsidP="00A61367">
      <w:pPr>
        <w:pStyle w:val="NormalWeb"/>
        <w:spacing w:before="0" w:beforeAutospacing="0" w:after="0" w:afterAutospacing="0" w:line="260" w:lineRule="exact"/>
        <w:jc w:val="both"/>
        <w:rPr>
          <w:rFonts w:ascii="Cambria" w:hAnsi="Cambria" w:cs="Times New Roman"/>
          <w:sz w:val="22"/>
          <w:szCs w:val="22"/>
        </w:rPr>
      </w:pPr>
    </w:p>
    <w:p w14:paraId="326C31C2" w14:textId="0564690C" w:rsidR="003D283C" w:rsidRPr="00A61367" w:rsidRDefault="00EB3A3B" w:rsidP="00A61367">
      <w:pPr>
        <w:pStyle w:val="NormalWeb"/>
        <w:spacing w:before="0" w:beforeAutospacing="0" w:after="0" w:afterAutospacing="0" w:line="260" w:lineRule="exact"/>
        <w:jc w:val="both"/>
        <w:rPr>
          <w:rFonts w:ascii="Cambria" w:hAnsi="Cambria" w:cs="Times New Roman"/>
          <w:sz w:val="22"/>
          <w:szCs w:val="22"/>
        </w:rPr>
      </w:pPr>
      <w:r w:rsidRPr="00A61367">
        <w:rPr>
          <w:rFonts w:ascii="Cambria" w:hAnsi="Cambria" w:cs="Times New Roman"/>
          <w:sz w:val="22"/>
          <w:szCs w:val="22"/>
        </w:rPr>
        <w:t xml:space="preserve">(3) </w:t>
      </w:r>
      <w:r w:rsidR="003D283C" w:rsidRPr="00A61367">
        <w:rPr>
          <w:rFonts w:ascii="Cambria" w:hAnsi="Cambria" w:cs="Times New Roman"/>
          <w:sz w:val="22"/>
          <w:szCs w:val="22"/>
        </w:rPr>
        <w:t xml:space="preserve">Do povračila stroškov so upravičeni tudi člani </w:t>
      </w:r>
      <w:r w:rsidR="00BD68D9" w:rsidRPr="00A61367">
        <w:rPr>
          <w:rFonts w:ascii="Cambria" w:hAnsi="Cambria" w:cs="Times New Roman"/>
          <w:sz w:val="22"/>
          <w:szCs w:val="22"/>
        </w:rPr>
        <w:t>Sveta RTV Slovenija, ki so kot člani imenovani v njegova delovna telesa</w:t>
      </w:r>
      <w:r w:rsidR="00C039D9" w:rsidRPr="00A61367">
        <w:rPr>
          <w:rFonts w:ascii="Cambria" w:hAnsi="Cambria" w:cs="Times New Roman"/>
          <w:sz w:val="22"/>
          <w:szCs w:val="22"/>
        </w:rPr>
        <w:t>.</w:t>
      </w:r>
    </w:p>
    <w:p w14:paraId="4A08DED0" w14:textId="77777777" w:rsidR="00EB3A3B" w:rsidRPr="00A61367" w:rsidRDefault="00EB3A3B" w:rsidP="00A61367">
      <w:pPr>
        <w:spacing w:line="260" w:lineRule="exact"/>
        <w:rPr>
          <w:rFonts w:ascii="Cambria" w:hAnsi="Cambria"/>
          <w:b/>
          <w:sz w:val="22"/>
          <w:szCs w:val="22"/>
        </w:rPr>
      </w:pPr>
    </w:p>
    <w:p w14:paraId="3921E299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8. člen</w:t>
      </w:r>
    </w:p>
    <w:p w14:paraId="63FED821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42B64DF1" w14:textId="48296411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Dnevnica je povračilo za stroške prehrane, do katerega je upravičen član, če poteka delo </w:t>
      </w:r>
      <w:r w:rsidR="00BD68D9" w:rsidRPr="00A61367">
        <w:rPr>
          <w:rFonts w:ascii="Cambria" w:hAnsi="Cambria"/>
          <w:sz w:val="22"/>
          <w:szCs w:val="22"/>
        </w:rPr>
        <w:t>Sveta RTV Slovenija</w:t>
      </w:r>
      <w:r w:rsidRPr="00A61367">
        <w:rPr>
          <w:rFonts w:ascii="Cambria" w:hAnsi="Cambria"/>
          <w:sz w:val="22"/>
          <w:szCs w:val="22"/>
        </w:rPr>
        <w:t xml:space="preserve"> skupaj s prihodom na delo in odhodom z dela </w:t>
      </w:r>
      <w:r w:rsidR="00BD68D9" w:rsidRPr="00A61367">
        <w:rPr>
          <w:rFonts w:ascii="Cambria" w:hAnsi="Cambria"/>
          <w:sz w:val="22"/>
          <w:szCs w:val="22"/>
        </w:rPr>
        <w:t xml:space="preserve">Sveta RTV Slovenija </w:t>
      </w:r>
      <w:r w:rsidRPr="00A61367">
        <w:rPr>
          <w:rFonts w:ascii="Cambria" w:hAnsi="Cambria"/>
          <w:sz w:val="22"/>
          <w:szCs w:val="22"/>
        </w:rPr>
        <w:t>neprekinjeno več kot 6 ur in pri tem prehrana ni zagotovljena. Višina dnevnice</w:t>
      </w:r>
      <w:r w:rsidR="00C039D9" w:rsidRPr="00A61367">
        <w:rPr>
          <w:rFonts w:ascii="Cambria" w:hAnsi="Cambria"/>
          <w:sz w:val="22"/>
          <w:szCs w:val="22"/>
        </w:rPr>
        <w:t xml:space="preserve"> </w:t>
      </w:r>
      <w:r w:rsidR="006F5771" w:rsidRPr="00A61367">
        <w:rPr>
          <w:rFonts w:ascii="Cambria" w:hAnsi="Cambria"/>
          <w:sz w:val="22"/>
          <w:szCs w:val="22"/>
        </w:rPr>
        <w:t>se določi v skladu z Uredbo o davčni obravnavi povračil stroškov in drugih dohodkov iz delovnega razmerja (</w:t>
      </w:r>
      <w:r w:rsidR="006F5771" w:rsidRPr="00A61367">
        <w:rPr>
          <w:rFonts w:ascii="Cambria" w:hAnsi="Cambria"/>
          <w:sz w:val="22"/>
          <w:szCs w:val="22"/>
          <w:shd w:val="clear" w:color="auto" w:fill="FFFFFF"/>
        </w:rPr>
        <w:t xml:space="preserve">Uradni list RS, št. </w:t>
      </w:r>
      <w:hyperlink r:id="rId18" w:tgtFrame="_blank" w:tooltip="Uredba o davčni obravnavi povračil stroškov in drugih dohodkov iz delovnega razmerja" w:history="1">
        <w:r w:rsidR="006F5771" w:rsidRPr="00A61367">
          <w:rPr>
            <w:rFonts w:ascii="Cambria" w:hAnsi="Cambria"/>
            <w:sz w:val="22"/>
            <w:szCs w:val="22"/>
            <w:shd w:val="clear" w:color="auto" w:fill="FFFFFF"/>
          </w:rPr>
          <w:t>140/06</w:t>
        </w:r>
      </w:hyperlink>
      <w:r w:rsidR="006F5771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19" w:tgtFrame="_blank" w:tooltip="Uredba o spremembah in dopolnitvah Uredbe o višini povračil stroškov v zvezi z delom in drugih dohodkov, ki se ne vštevajo v davčno osnovo" w:history="1">
        <w:r w:rsidR="006F5771" w:rsidRPr="00A61367">
          <w:rPr>
            <w:rFonts w:ascii="Cambria" w:hAnsi="Cambria"/>
            <w:sz w:val="22"/>
            <w:szCs w:val="22"/>
            <w:shd w:val="clear" w:color="auto" w:fill="FFFFFF"/>
          </w:rPr>
          <w:t>76/08</w:t>
        </w:r>
      </w:hyperlink>
      <w:r w:rsidR="006F5771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20" w:tgtFrame="_blank" w:tooltip="Uredba o spremembi Uredbe o davčni obravnavi povračil stroškov in drugih dohodkov iz delovnega razmerja" w:history="1">
        <w:r w:rsidR="006F5771" w:rsidRPr="00A61367">
          <w:rPr>
            <w:rFonts w:ascii="Cambria" w:hAnsi="Cambria"/>
            <w:sz w:val="22"/>
            <w:szCs w:val="22"/>
            <w:shd w:val="clear" w:color="auto" w:fill="FFFFFF"/>
          </w:rPr>
          <w:t>63/17</w:t>
        </w:r>
      </w:hyperlink>
      <w:r w:rsidR="006F5771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21" w:tgtFrame="_blank" w:tooltip="Uredba o spremembi Uredbe o davčni obravnavi povračil stroškov in drugih dohodkov iz delovnega razmerja" w:history="1">
        <w:r w:rsidR="006F5771" w:rsidRPr="00A61367">
          <w:rPr>
            <w:rFonts w:ascii="Cambria" w:hAnsi="Cambria"/>
            <w:sz w:val="22"/>
            <w:szCs w:val="22"/>
            <w:shd w:val="clear" w:color="auto" w:fill="FFFFFF"/>
          </w:rPr>
          <w:t>71/18</w:t>
        </w:r>
      </w:hyperlink>
      <w:r w:rsidR="006F5771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22" w:tgtFrame="_blank" w:tooltip="Uredba o spremembah Uredbe o davčni obravnavi povračil stroškov in drugih dohodkov iz delovnega razmerja" w:history="1">
        <w:r w:rsidR="006F5771" w:rsidRPr="00A61367">
          <w:rPr>
            <w:rFonts w:ascii="Cambria" w:hAnsi="Cambria"/>
            <w:sz w:val="22"/>
            <w:szCs w:val="22"/>
            <w:shd w:val="clear" w:color="auto" w:fill="FFFFFF"/>
          </w:rPr>
          <w:t>104/21</w:t>
        </w:r>
      </w:hyperlink>
      <w:r w:rsidR="006F5771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23" w:tgtFrame="_blank" w:tooltip="Uredba o spremembah in dopolnitvi Uredbe o davčni obravnavi povračil stroškov in drugih dohodkov iz delovnega razmerja" w:history="1">
        <w:r w:rsidR="006F5771" w:rsidRPr="00A61367">
          <w:rPr>
            <w:rFonts w:ascii="Cambria" w:hAnsi="Cambria"/>
            <w:sz w:val="22"/>
            <w:szCs w:val="22"/>
            <w:shd w:val="clear" w:color="auto" w:fill="FFFFFF"/>
          </w:rPr>
          <w:t>114/21</w:t>
        </w:r>
      </w:hyperlink>
      <w:r w:rsidR="006F5771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24" w:tgtFrame="_blank" w:tooltip="Uredba o spremembah Uredbe o davčni obravnavi povračil stroškov in drugih dohodkov iz delovnega razmerja" w:history="1">
        <w:r w:rsidR="006F5771" w:rsidRPr="00A61367">
          <w:rPr>
            <w:rFonts w:ascii="Cambria" w:hAnsi="Cambria"/>
            <w:sz w:val="22"/>
            <w:szCs w:val="22"/>
            <w:shd w:val="clear" w:color="auto" w:fill="FFFFFF"/>
          </w:rPr>
          <w:t>87/22</w:t>
        </w:r>
      </w:hyperlink>
      <w:r w:rsidR="006F5771" w:rsidRPr="00A61367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hyperlink r:id="rId25" w:tgtFrame="_blank" w:tooltip="Uredba o spremembah Uredbe o davčni obravnavi povračil stroškov in drugih dohodkov iz delovnega razmerja" w:history="1">
        <w:r w:rsidR="006F5771" w:rsidRPr="00A61367">
          <w:rPr>
            <w:rFonts w:ascii="Cambria" w:hAnsi="Cambria"/>
            <w:sz w:val="22"/>
            <w:szCs w:val="22"/>
            <w:shd w:val="clear" w:color="auto" w:fill="FFFFFF"/>
          </w:rPr>
          <w:t>113/22</w:t>
        </w:r>
      </w:hyperlink>
      <w:r w:rsidR="006F5771" w:rsidRPr="00A61367">
        <w:rPr>
          <w:rFonts w:ascii="Cambria" w:hAnsi="Cambria"/>
          <w:sz w:val="22"/>
          <w:szCs w:val="22"/>
        </w:rPr>
        <w:t xml:space="preserve"> </w:t>
      </w:r>
      <w:r w:rsidR="006F5771" w:rsidRPr="00A61367">
        <w:rPr>
          <w:rFonts w:ascii="Cambria" w:hAnsi="Cambria"/>
          <w:sz w:val="22"/>
          <w:szCs w:val="22"/>
          <w:shd w:val="clear" w:color="auto" w:fill="FFFFFF"/>
        </w:rPr>
        <w:t xml:space="preserve">in </w:t>
      </w:r>
      <w:hyperlink r:id="rId26" w:tgtFrame="_blank" w:tooltip="Uredba o spremembah in dopolnitvi Uredbe o davčni obravnavi povračil stroškov in drugih dohodkov iz delovnega razmerja" w:history="1">
        <w:r w:rsidR="006F5771" w:rsidRPr="00A61367">
          <w:rPr>
            <w:rFonts w:ascii="Cambria" w:hAnsi="Cambria"/>
            <w:sz w:val="22"/>
            <w:szCs w:val="22"/>
            <w:shd w:val="clear" w:color="auto" w:fill="FFFFFF"/>
          </w:rPr>
          <w:t>162/22</w:t>
        </w:r>
      </w:hyperlink>
      <w:r w:rsidR="006F5771" w:rsidRPr="00A61367">
        <w:rPr>
          <w:rFonts w:ascii="Cambria" w:hAnsi="Cambria"/>
          <w:sz w:val="22"/>
          <w:szCs w:val="22"/>
        </w:rPr>
        <w:t>).</w:t>
      </w:r>
    </w:p>
    <w:p w14:paraId="5BD13CCD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05165A6B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9. člen</w:t>
      </w:r>
    </w:p>
    <w:p w14:paraId="45977B76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5F68275F" w14:textId="3A5B9737" w:rsidR="003D283C" w:rsidRPr="00A61367" w:rsidRDefault="00EB3A3B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(1) </w:t>
      </w:r>
      <w:r w:rsidR="003D283C" w:rsidRPr="00A61367">
        <w:rPr>
          <w:rFonts w:ascii="Cambria" w:hAnsi="Cambria"/>
          <w:sz w:val="22"/>
          <w:szCs w:val="22"/>
        </w:rPr>
        <w:t xml:space="preserve">Prevozni stroški so izdatki, ki jih ima član, če mora zaradi dela v </w:t>
      </w:r>
      <w:r w:rsidR="006F5771" w:rsidRPr="00A61367">
        <w:rPr>
          <w:rFonts w:ascii="Cambria" w:hAnsi="Cambria"/>
          <w:sz w:val="22"/>
          <w:szCs w:val="22"/>
        </w:rPr>
        <w:t xml:space="preserve">Svetu RTV Slovenija </w:t>
      </w:r>
      <w:r w:rsidR="003D283C" w:rsidRPr="00A61367">
        <w:rPr>
          <w:rFonts w:ascii="Cambria" w:hAnsi="Cambria"/>
          <w:sz w:val="22"/>
          <w:szCs w:val="22"/>
        </w:rPr>
        <w:t xml:space="preserve">potovati v drug kraj, pri čemer lahko zahteva povračilo za: </w:t>
      </w:r>
    </w:p>
    <w:p w14:paraId="39BB489F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>– kilometrino in/ali</w:t>
      </w:r>
    </w:p>
    <w:p w14:paraId="60DDBED2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>– dejanske stroške.</w:t>
      </w:r>
    </w:p>
    <w:p w14:paraId="35EE6DEF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16FC3607" w14:textId="71E6DC29" w:rsidR="003D283C" w:rsidRPr="00A61367" w:rsidRDefault="00EB3A3B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(2) </w:t>
      </w:r>
      <w:r w:rsidR="003D283C" w:rsidRPr="00A61367">
        <w:rPr>
          <w:rFonts w:ascii="Cambria" w:hAnsi="Cambria"/>
          <w:sz w:val="22"/>
          <w:szCs w:val="22"/>
        </w:rPr>
        <w:t xml:space="preserve">Za potovanje v drug kraj se šteje, če je delo </w:t>
      </w:r>
      <w:r w:rsidR="006F5771" w:rsidRPr="00A61367">
        <w:rPr>
          <w:rFonts w:ascii="Cambria" w:hAnsi="Cambria"/>
          <w:sz w:val="22"/>
          <w:szCs w:val="22"/>
        </w:rPr>
        <w:t xml:space="preserve">Sveta RTV Slovenija </w:t>
      </w:r>
      <w:r w:rsidR="003D283C" w:rsidRPr="00A61367">
        <w:rPr>
          <w:rFonts w:ascii="Cambria" w:hAnsi="Cambria"/>
          <w:sz w:val="22"/>
          <w:szCs w:val="22"/>
        </w:rPr>
        <w:t xml:space="preserve">v drugem kraju, kot je delovno mesto ali stalno oziroma začasno prebivališče člana. </w:t>
      </w:r>
    </w:p>
    <w:p w14:paraId="64B179F7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07A0E741" w14:textId="3296D66D" w:rsidR="003D283C" w:rsidRPr="00A61367" w:rsidRDefault="00EB3A3B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(3) </w:t>
      </w:r>
      <w:r w:rsidR="003D283C" w:rsidRPr="00A61367">
        <w:rPr>
          <w:rFonts w:ascii="Cambria" w:hAnsi="Cambria"/>
          <w:sz w:val="22"/>
          <w:szCs w:val="22"/>
        </w:rPr>
        <w:t xml:space="preserve">Kilometrina je povračilo stroškov za uporabo lastnega avtomobila za prevoz na delo in z dela </w:t>
      </w:r>
      <w:r w:rsidR="00F07CCD" w:rsidRPr="00A61367">
        <w:rPr>
          <w:rFonts w:ascii="Cambria" w:hAnsi="Cambria"/>
          <w:sz w:val="22"/>
          <w:szCs w:val="22"/>
        </w:rPr>
        <w:t>Sveta RTV Slovenija</w:t>
      </w:r>
      <w:r w:rsidR="003D283C" w:rsidRPr="00A61367">
        <w:rPr>
          <w:rFonts w:ascii="Cambria" w:hAnsi="Cambria"/>
          <w:sz w:val="22"/>
          <w:szCs w:val="22"/>
        </w:rPr>
        <w:t>.</w:t>
      </w:r>
      <w:r w:rsidR="003D283C" w:rsidRPr="00A61367">
        <w:rPr>
          <w:rFonts w:ascii="Cambria" w:hAnsi="Cambria"/>
          <w:color w:val="000000"/>
          <w:sz w:val="22"/>
          <w:szCs w:val="22"/>
        </w:rPr>
        <w:t xml:space="preserve"> </w:t>
      </w:r>
      <w:r w:rsidR="003D673D" w:rsidRPr="00A61367">
        <w:rPr>
          <w:rFonts w:ascii="Cambria" w:hAnsi="Cambria"/>
          <w:sz w:val="22"/>
          <w:szCs w:val="22"/>
        </w:rPr>
        <w:t xml:space="preserve">Pri obračunu kilometrine za povračilo stroškov prevoza se uporabi zadnja objava najvišje poročane maloprodajne cene neosvinčenega motornega bencina-95, ki jo za posamezni mesec objavi ministrstvo, pristojno za javno upravo. </w:t>
      </w:r>
      <w:r w:rsidR="003D283C" w:rsidRPr="00A61367">
        <w:rPr>
          <w:rFonts w:ascii="Cambria" w:hAnsi="Cambria"/>
          <w:sz w:val="22"/>
          <w:szCs w:val="22"/>
        </w:rPr>
        <w:t xml:space="preserve">Član je upravičen do izplačila kilometrine največ do razdalje med krajem, v katerem se je opravilo delo </w:t>
      </w:r>
      <w:r w:rsidR="00F07CCD" w:rsidRPr="00A61367">
        <w:rPr>
          <w:rFonts w:ascii="Cambria" w:hAnsi="Cambria"/>
          <w:sz w:val="22"/>
          <w:szCs w:val="22"/>
        </w:rPr>
        <w:t>Sveta RTV Slovenija</w:t>
      </w:r>
      <w:r w:rsidR="003D283C" w:rsidRPr="00A61367">
        <w:rPr>
          <w:rFonts w:ascii="Cambria" w:hAnsi="Cambria"/>
          <w:sz w:val="22"/>
          <w:szCs w:val="22"/>
        </w:rPr>
        <w:t xml:space="preserve">, in krajem, v katerem ima stalno oziroma začasno prebivališče, oziroma krajem zaposlitve. Upravičen je do kilometrine v obe smeri potovanja. </w:t>
      </w:r>
    </w:p>
    <w:p w14:paraId="42D45904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6767D554" w14:textId="5F76E9EB" w:rsidR="003D283C" w:rsidRPr="00A61367" w:rsidRDefault="00EB3A3B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(4) </w:t>
      </w:r>
      <w:r w:rsidR="003D283C" w:rsidRPr="00A61367">
        <w:rPr>
          <w:rFonts w:ascii="Cambria" w:hAnsi="Cambria"/>
          <w:sz w:val="22"/>
          <w:szCs w:val="22"/>
        </w:rPr>
        <w:t xml:space="preserve">Član lahko zahteva povračilo za dejanske stroške prevoza samo na podlagi dokazil (vozovnica </w:t>
      </w:r>
      <w:r w:rsidR="00755758" w:rsidRPr="00A61367">
        <w:rPr>
          <w:rFonts w:ascii="Cambria" w:hAnsi="Cambria"/>
          <w:sz w:val="22"/>
          <w:szCs w:val="22"/>
        </w:rPr>
        <w:t>javnega prevoznega sredstva</w:t>
      </w:r>
      <w:r w:rsidR="003D283C" w:rsidRPr="00A61367">
        <w:rPr>
          <w:rFonts w:ascii="Cambria" w:hAnsi="Cambria"/>
          <w:sz w:val="22"/>
          <w:szCs w:val="22"/>
        </w:rPr>
        <w:t>, račun za parkirnino</w:t>
      </w:r>
      <w:r w:rsidR="00C039D9" w:rsidRPr="00A61367">
        <w:rPr>
          <w:rFonts w:ascii="Cambria" w:hAnsi="Cambria"/>
          <w:sz w:val="22"/>
          <w:szCs w:val="22"/>
        </w:rPr>
        <w:t xml:space="preserve"> </w:t>
      </w:r>
      <w:r w:rsidR="003D283C" w:rsidRPr="00A61367">
        <w:rPr>
          <w:rFonts w:ascii="Cambria" w:hAnsi="Cambria"/>
          <w:sz w:val="22"/>
          <w:szCs w:val="22"/>
        </w:rPr>
        <w:t xml:space="preserve">in podobno). </w:t>
      </w:r>
    </w:p>
    <w:p w14:paraId="2EE4298C" w14:textId="55409BE9" w:rsidR="003D673D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br/>
      </w:r>
      <w:r w:rsidR="00EB3A3B" w:rsidRPr="00A61367">
        <w:rPr>
          <w:rFonts w:ascii="Cambria" w:hAnsi="Cambria"/>
          <w:sz w:val="22"/>
          <w:szCs w:val="22"/>
        </w:rPr>
        <w:t xml:space="preserve">(5) </w:t>
      </w:r>
      <w:r w:rsidRPr="00A61367">
        <w:rPr>
          <w:rFonts w:ascii="Cambria" w:hAnsi="Cambria"/>
          <w:sz w:val="22"/>
          <w:szCs w:val="22"/>
        </w:rPr>
        <w:t xml:space="preserve">Če je za svoje potovanje uporabil javna prevozna sredstva, član ni upravičen do povračila </w:t>
      </w:r>
      <w:r w:rsidRPr="00A61367">
        <w:rPr>
          <w:rFonts w:ascii="Cambria" w:hAnsi="Cambria"/>
          <w:sz w:val="22"/>
          <w:szCs w:val="22"/>
        </w:rPr>
        <w:lastRenderedPageBreak/>
        <w:t>kilometrine. Stroški javnega prevoza se priznajo do višine, ki velja za razdaljo, kakršna je opredeljena pri kilometrini.</w:t>
      </w:r>
    </w:p>
    <w:p w14:paraId="013A28CE" w14:textId="77777777" w:rsidR="00C039D9" w:rsidRPr="00A61367" w:rsidRDefault="00C039D9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14D7EA86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10. člen</w:t>
      </w:r>
    </w:p>
    <w:p w14:paraId="3A4CCEF4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2FAC29ED" w14:textId="368D7C06" w:rsidR="003D283C" w:rsidRPr="00A61367" w:rsidRDefault="00EB3A3B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(1) </w:t>
      </w:r>
      <w:r w:rsidR="003D283C" w:rsidRPr="00A61367">
        <w:rPr>
          <w:rFonts w:ascii="Cambria" w:hAnsi="Cambria"/>
          <w:sz w:val="22"/>
          <w:szCs w:val="22"/>
        </w:rPr>
        <w:t xml:space="preserve">Stroški za prenočišče so izdatki, ki jih ima član, če mora zaradi dela </w:t>
      </w:r>
      <w:r w:rsidR="00626739" w:rsidRPr="00A61367">
        <w:rPr>
          <w:rFonts w:ascii="Cambria" w:hAnsi="Cambria"/>
          <w:sz w:val="22"/>
          <w:szCs w:val="22"/>
        </w:rPr>
        <w:t xml:space="preserve">Sveta RTV Slovenija </w:t>
      </w:r>
      <w:r w:rsidR="003D283C" w:rsidRPr="00A61367">
        <w:rPr>
          <w:rFonts w:ascii="Cambria" w:hAnsi="Cambria"/>
          <w:sz w:val="22"/>
          <w:szCs w:val="22"/>
        </w:rPr>
        <w:t xml:space="preserve">prenočiti v drugem kraju, kot je njegovo stalno oziroma začasno prebivališče, pri čemer lahko zahteva povračilo stroškov le, če je oddaljenost njegovega stalnega oziroma začasnega prebivališča od kraja dela </w:t>
      </w:r>
      <w:r w:rsidR="00626739" w:rsidRPr="00A61367">
        <w:rPr>
          <w:rFonts w:ascii="Cambria" w:hAnsi="Cambria"/>
          <w:sz w:val="22"/>
          <w:szCs w:val="22"/>
        </w:rPr>
        <w:t xml:space="preserve">Sveta RTV Slovenija </w:t>
      </w:r>
      <w:r w:rsidR="003D283C" w:rsidRPr="00A61367">
        <w:rPr>
          <w:rFonts w:ascii="Cambria" w:hAnsi="Cambria"/>
          <w:sz w:val="22"/>
          <w:szCs w:val="22"/>
        </w:rPr>
        <w:t xml:space="preserve">najmanj 100 kilometrov, če se ni mogel vrniti, ker po voznem redu ni bilo predvidene nobene vožnje javnega prevoznega sredstva več, ali zaradi drugih objektivnih razlogov. </w:t>
      </w:r>
    </w:p>
    <w:p w14:paraId="7AD14747" w14:textId="6A49A17E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br/>
      </w:r>
      <w:r w:rsidR="00EB3A3B" w:rsidRPr="00A61367">
        <w:rPr>
          <w:rFonts w:ascii="Cambria" w:hAnsi="Cambria"/>
          <w:sz w:val="22"/>
          <w:szCs w:val="22"/>
        </w:rPr>
        <w:t xml:space="preserve">(2) </w:t>
      </w:r>
      <w:r w:rsidRPr="00A61367">
        <w:rPr>
          <w:rFonts w:ascii="Cambria" w:hAnsi="Cambria"/>
          <w:sz w:val="22"/>
          <w:szCs w:val="22"/>
        </w:rPr>
        <w:t>Član lahko zahteva povračilo za stroške prenočišča samo na podlagi dokazil (račun). Stroški za prenočišče se priznajo v polnem znesku, razen za hotel s petimi zvezdicami ali več, za katerega se priznajo v višini 80 odstotkov zneska računa.</w:t>
      </w:r>
    </w:p>
    <w:p w14:paraId="5F9148F8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63A9360C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IV. IZPLAČILO SEJNIN IN DRUGIH STROŠKOV</w:t>
      </w:r>
    </w:p>
    <w:p w14:paraId="6D8B5009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148A55C5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  <w:r w:rsidRPr="00A61367">
        <w:rPr>
          <w:rFonts w:ascii="Cambria" w:hAnsi="Cambria"/>
          <w:b/>
          <w:sz w:val="22"/>
          <w:szCs w:val="22"/>
        </w:rPr>
        <w:t>11. člen</w:t>
      </w:r>
    </w:p>
    <w:p w14:paraId="1A091AA5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sz w:val="22"/>
          <w:szCs w:val="22"/>
        </w:rPr>
      </w:pPr>
    </w:p>
    <w:p w14:paraId="6A4FE8A2" w14:textId="5CE38886" w:rsidR="003D283C" w:rsidRPr="00A61367" w:rsidRDefault="00EB3A3B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(1) </w:t>
      </w:r>
      <w:r w:rsidR="003D283C" w:rsidRPr="00A61367">
        <w:rPr>
          <w:rFonts w:ascii="Cambria" w:hAnsi="Cambria"/>
          <w:sz w:val="22"/>
          <w:szCs w:val="22"/>
        </w:rPr>
        <w:t xml:space="preserve">RTV Slovenija izplačuje sejnine članom na podlagi dejansko opravljenega dela v </w:t>
      </w:r>
      <w:r w:rsidR="00626739" w:rsidRPr="00A61367">
        <w:rPr>
          <w:rFonts w:ascii="Cambria" w:hAnsi="Cambria"/>
          <w:sz w:val="22"/>
          <w:szCs w:val="22"/>
        </w:rPr>
        <w:t>Svetu RTV Slovenija</w:t>
      </w:r>
      <w:r w:rsidR="003D283C" w:rsidRPr="00A61367">
        <w:rPr>
          <w:rFonts w:ascii="Cambria" w:hAnsi="Cambria"/>
          <w:sz w:val="22"/>
          <w:szCs w:val="22"/>
        </w:rPr>
        <w:t xml:space="preserve">, ki se izkaže s podpisom na seznamu prisotnih, ki je obvezna priloga zapisnika redne ali izredne seje, ali s podpisom na glasovnici dopisne seje. </w:t>
      </w:r>
    </w:p>
    <w:p w14:paraId="169C6DA4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</w:p>
    <w:p w14:paraId="0A26D771" w14:textId="19A51E4C" w:rsidR="003D283C" w:rsidRPr="00A61367" w:rsidRDefault="00EB3A3B" w:rsidP="00A61367">
      <w:pPr>
        <w:spacing w:line="260" w:lineRule="exact"/>
        <w:jc w:val="both"/>
        <w:rPr>
          <w:rFonts w:ascii="Cambria" w:hAnsi="Cambria"/>
          <w:sz w:val="22"/>
          <w:szCs w:val="22"/>
        </w:rPr>
      </w:pPr>
      <w:r w:rsidRPr="00A61367">
        <w:rPr>
          <w:rFonts w:ascii="Cambria" w:hAnsi="Cambria"/>
          <w:sz w:val="22"/>
          <w:szCs w:val="22"/>
        </w:rPr>
        <w:t xml:space="preserve">(2) </w:t>
      </w:r>
      <w:r w:rsidR="003D283C" w:rsidRPr="00A61367">
        <w:rPr>
          <w:rFonts w:ascii="Cambria" w:hAnsi="Cambria"/>
          <w:sz w:val="22"/>
          <w:szCs w:val="22"/>
        </w:rPr>
        <w:t xml:space="preserve">Povračilo drugih stroškov se članu izplačajo enkrat mesečno na podlagi obračuna potnih stroškov, ki ga tajništvo </w:t>
      </w:r>
      <w:r w:rsidR="00626739" w:rsidRPr="00A61367">
        <w:rPr>
          <w:rFonts w:ascii="Cambria" w:hAnsi="Cambria"/>
          <w:sz w:val="22"/>
          <w:szCs w:val="22"/>
        </w:rPr>
        <w:t>Sveta</w:t>
      </w:r>
      <w:r w:rsidR="003D283C" w:rsidRPr="00A61367">
        <w:rPr>
          <w:rFonts w:ascii="Cambria" w:hAnsi="Cambria"/>
          <w:sz w:val="22"/>
          <w:szCs w:val="22"/>
        </w:rPr>
        <w:t xml:space="preserve"> RTV Slovenija pripravi na podlagi pisnega zahtevka člana za povračilo drugih stroškov in priloženih dokazil za tiste stroške, ki so zahtevani po določbah tega pravilnika. </w:t>
      </w:r>
      <w:r w:rsidR="00626739" w:rsidRPr="00A61367">
        <w:rPr>
          <w:rFonts w:ascii="Cambria" w:hAnsi="Cambria"/>
          <w:sz w:val="22"/>
          <w:szCs w:val="22"/>
        </w:rPr>
        <w:t xml:space="preserve">Kot pisni zahtevki za povračila stroškov se uporabljajo interni obrazci, ki jih uporablja RTV Slovenija za službena potovanja zaposlenih. Član mora prejeti podpisan obrazec za napotitev na službeno pot skupaj z vabilom na redno ali izredno sejo. </w:t>
      </w:r>
    </w:p>
    <w:p w14:paraId="049DF7EE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b/>
          <w:sz w:val="22"/>
          <w:szCs w:val="22"/>
        </w:rPr>
      </w:pPr>
    </w:p>
    <w:p w14:paraId="3B3D1245" w14:textId="49707C1A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color w:val="000000"/>
          <w:sz w:val="22"/>
          <w:szCs w:val="22"/>
        </w:rPr>
      </w:pPr>
      <w:r w:rsidRPr="00A61367">
        <w:rPr>
          <w:rFonts w:ascii="Cambria" w:hAnsi="Cambria"/>
          <w:b/>
          <w:color w:val="000000"/>
          <w:sz w:val="22"/>
          <w:szCs w:val="22"/>
        </w:rPr>
        <w:t>V. PREHODN</w:t>
      </w:r>
      <w:r w:rsidR="00B719EC" w:rsidRPr="00A61367">
        <w:rPr>
          <w:rFonts w:ascii="Cambria" w:hAnsi="Cambria"/>
          <w:b/>
          <w:color w:val="000000"/>
          <w:sz w:val="22"/>
          <w:szCs w:val="22"/>
        </w:rPr>
        <w:t>I</w:t>
      </w:r>
      <w:r w:rsidRPr="00A61367">
        <w:rPr>
          <w:rFonts w:ascii="Cambria" w:hAnsi="Cambria"/>
          <w:b/>
          <w:color w:val="000000"/>
          <w:sz w:val="22"/>
          <w:szCs w:val="22"/>
        </w:rPr>
        <w:t xml:space="preserve"> IN KONČN</w:t>
      </w:r>
      <w:r w:rsidR="00EB3A3B" w:rsidRPr="00A61367">
        <w:rPr>
          <w:rFonts w:ascii="Cambria" w:hAnsi="Cambria"/>
          <w:b/>
          <w:color w:val="000000"/>
          <w:sz w:val="22"/>
          <w:szCs w:val="22"/>
        </w:rPr>
        <w:t>A</w:t>
      </w:r>
      <w:r w:rsidRPr="00A61367">
        <w:rPr>
          <w:rFonts w:ascii="Cambria" w:hAnsi="Cambria"/>
          <w:b/>
          <w:color w:val="000000"/>
          <w:sz w:val="22"/>
          <w:szCs w:val="22"/>
        </w:rPr>
        <w:t xml:space="preserve"> DOLOČB</w:t>
      </w:r>
      <w:r w:rsidR="00EB3A3B" w:rsidRPr="00A61367">
        <w:rPr>
          <w:rFonts w:ascii="Cambria" w:hAnsi="Cambria"/>
          <w:b/>
          <w:color w:val="000000"/>
          <w:sz w:val="22"/>
          <w:szCs w:val="22"/>
        </w:rPr>
        <w:t>A</w:t>
      </w:r>
    </w:p>
    <w:p w14:paraId="30F2AC5F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68CB810A" w14:textId="3705B3F7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color w:val="000000"/>
          <w:sz w:val="22"/>
          <w:szCs w:val="22"/>
        </w:rPr>
      </w:pPr>
      <w:r w:rsidRPr="00A61367">
        <w:rPr>
          <w:rFonts w:ascii="Cambria" w:hAnsi="Cambria"/>
          <w:b/>
          <w:color w:val="000000"/>
          <w:sz w:val="22"/>
          <w:szCs w:val="22"/>
        </w:rPr>
        <w:t>12. člen</w:t>
      </w:r>
    </w:p>
    <w:p w14:paraId="20A7EB8E" w14:textId="54B4C034" w:rsidR="003D283C" w:rsidRPr="00A61367" w:rsidRDefault="003D283C" w:rsidP="00A61367">
      <w:pPr>
        <w:spacing w:line="260" w:lineRule="exact"/>
        <w:jc w:val="both"/>
        <w:rPr>
          <w:rFonts w:ascii="Cambria" w:hAnsi="Cambria"/>
          <w:color w:val="000000"/>
          <w:sz w:val="22"/>
          <w:szCs w:val="22"/>
        </w:rPr>
      </w:pPr>
    </w:p>
    <w:p w14:paraId="5D903859" w14:textId="4BF00895" w:rsidR="003D283C" w:rsidRPr="00A61367" w:rsidRDefault="003D283C" w:rsidP="00A61367">
      <w:pPr>
        <w:spacing w:line="260" w:lineRule="exact"/>
        <w:jc w:val="both"/>
        <w:rPr>
          <w:rFonts w:ascii="Cambria" w:hAnsi="Cambria"/>
          <w:color w:val="000000"/>
          <w:sz w:val="22"/>
          <w:szCs w:val="22"/>
        </w:rPr>
      </w:pPr>
      <w:r w:rsidRPr="00A61367">
        <w:rPr>
          <w:rFonts w:ascii="Cambria" w:hAnsi="Cambria"/>
          <w:color w:val="000000"/>
          <w:sz w:val="22"/>
          <w:szCs w:val="22"/>
        </w:rPr>
        <w:t xml:space="preserve">Spremenljivi del sejnine </w:t>
      </w:r>
      <w:r w:rsidR="00B719EC" w:rsidRPr="00A61367">
        <w:rPr>
          <w:rFonts w:ascii="Cambria" w:hAnsi="Cambria"/>
          <w:color w:val="000000"/>
          <w:sz w:val="22"/>
          <w:szCs w:val="22"/>
        </w:rPr>
        <w:t xml:space="preserve">za leto 2026 </w:t>
      </w:r>
      <w:r w:rsidRPr="00A61367">
        <w:rPr>
          <w:rFonts w:ascii="Cambria" w:hAnsi="Cambria"/>
          <w:color w:val="000000"/>
          <w:sz w:val="22"/>
          <w:szCs w:val="22"/>
        </w:rPr>
        <w:t>znaša skupaj</w:t>
      </w:r>
      <w:r w:rsidR="00C039D9" w:rsidRPr="00A61367">
        <w:rPr>
          <w:rFonts w:ascii="Cambria" w:hAnsi="Cambria"/>
          <w:color w:val="000000"/>
          <w:sz w:val="22"/>
          <w:szCs w:val="22"/>
        </w:rPr>
        <w:t xml:space="preserve"> 22,50 </w:t>
      </w:r>
      <w:r w:rsidRPr="00A61367">
        <w:rPr>
          <w:rFonts w:ascii="Cambria" w:hAnsi="Cambria"/>
          <w:color w:val="000000"/>
          <w:sz w:val="22"/>
          <w:szCs w:val="22"/>
        </w:rPr>
        <w:t>evrov.</w:t>
      </w:r>
    </w:p>
    <w:p w14:paraId="539134DE" w14:textId="77777777" w:rsidR="00C039D9" w:rsidRPr="00A61367" w:rsidRDefault="00C039D9" w:rsidP="00A61367">
      <w:pPr>
        <w:spacing w:line="260" w:lineRule="exact"/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00CE839B" w14:textId="004E3699" w:rsidR="003D283C" w:rsidRPr="00A61367" w:rsidRDefault="003D283C" w:rsidP="00A61367">
      <w:pPr>
        <w:spacing w:line="260" w:lineRule="exact"/>
        <w:jc w:val="center"/>
        <w:rPr>
          <w:rFonts w:ascii="Cambria" w:hAnsi="Cambria"/>
          <w:b/>
          <w:color w:val="000000"/>
          <w:sz w:val="22"/>
          <w:szCs w:val="22"/>
        </w:rPr>
      </w:pPr>
      <w:r w:rsidRPr="00A61367">
        <w:rPr>
          <w:rFonts w:ascii="Cambria" w:hAnsi="Cambria"/>
          <w:b/>
          <w:color w:val="000000"/>
          <w:sz w:val="22"/>
          <w:szCs w:val="22"/>
        </w:rPr>
        <w:t>13. člen</w:t>
      </w:r>
    </w:p>
    <w:p w14:paraId="0D9B798C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color w:val="000000"/>
          <w:sz w:val="22"/>
          <w:szCs w:val="22"/>
        </w:rPr>
      </w:pPr>
    </w:p>
    <w:p w14:paraId="2092B818" w14:textId="321F1E39" w:rsidR="003D283C" w:rsidRPr="00A61367" w:rsidRDefault="003D283C" w:rsidP="00A61367">
      <w:pPr>
        <w:spacing w:line="260" w:lineRule="exact"/>
        <w:jc w:val="both"/>
        <w:rPr>
          <w:rFonts w:ascii="Cambria" w:hAnsi="Cambria"/>
          <w:color w:val="000000"/>
          <w:sz w:val="22"/>
          <w:szCs w:val="22"/>
        </w:rPr>
      </w:pPr>
      <w:r w:rsidRPr="00A61367">
        <w:rPr>
          <w:rFonts w:ascii="Cambria" w:hAnsi="Cambria"/>
          <w:color w:val="000000"/>
          <w:sz w:val="22"/>
          <w:szCs w:val="22"/>
        </w:rPr>
        <w:t xml:space="preserve">Z dnem uveljavitve tega </w:t>
      </w:r>
      <w:r w:rsidR="00C039D9" w:rsidRPr="00A61367">
        <w:rPr>
          <w:rFonts w:ascii="Cambria" w:hAnsi="Cambria"/>
          <w:color w:val="000000"/>
          <w:sz w:val="22"/>
          <w:szCs w:val="22"/>
        </w:rPr>
        <w:t>p</w:t>
      </w:r>
      <w:r w:rsidRPr="00A61367">
        <w:rPr>
          <w:rFonts w:ascii="Cambria" w:hAnsi="Cambria"/>
          <w:color w:val="000000"/>
          <w:sz w:val="22"/>
          <w:szCs w:val="22"/>
        </w:rPr>
        <w:t xml:space="preserve">ravilnika preneha veljati Pravilnik o sejninah in povračilu drugih stroškov članom Programskega in Nadzornega sveta RTV Slovenija, njunih organov in delovnih teles ter programskih odborov </w:t>
      </w:r>
      <w:r w:rsidR="00EB3A3B" w:rsidRPr="00A61367">
        <w:rPr>
          <w:rFonts w:ascii="Cambria" w:hAnsi="Cambria"/>
          <w:color w:val="000000"/>
          <w:sz w:val="22"/>
          <w:szCs w:val="22"/>
        </w:rPr>
        <w:t>(</w:t>
      </w:r>
      <w:r w:rsidRPr="00A61367">
        <w:rPr>
          <w:rFonts w:ascii="Cambria" w:hAnsi="Cambria"/>
          <w:color w:val="000000"/>
          <w:sz w:val="22"/>
          <w:szCs w:val="22"/>
        </w:rPr>
        <w:t>Informator</w:t>
      </w:r>
      <w:r w:rsidR="00EB3A3B" w:rsidRPr="00A61367">
        <w:rPr>
          <w:rFonts w:ascii="Cambria" w:hAnsi="Cambria"/>
          <w:color w:val="000000"/>
          <w:sz w:val="22"/>
          <w:szCs w:val="22"/>
        </w:rPr>
        <w:t>15-052)</w:t>
      </w:r>
      <w:r w:rsidRPr="00A61367">
        <w:rPr>
          <w:rFonts w:ascii="Cambria" w:hAnsi="Cambria"/>
          <w:color w:val="000000"/>
          <w:sz w:val="22"/>
          <w:szCs w:val="22"/>
        </w:rPr>
        <w:t>.</w:t>
      </w:r>
    </w:p>
    <w:p w14:paraId="37AD3398" w14:textId="77777777" w:rsidR="003D283C" w:rsidRPr="00A61367" w:rsidRDefault="003D283C" w:rsidP="00A61367">
      <w:pPr>
        <w:spacing w:line="260" w:lineRule="exact"/>
        <w:jc w:val="both"/>
        <w:rPr>
          <w:rFonts w:ascii="Cambria" w:hAnsi="Cambria"/>
          <w:color w:val="000000"/>
          <w:sz w:val="22"/>
          <w:szCs w:val="22"/>
        </w:rPr>
      </w:pPr>
    </w:p>
    <w:p w14:paraId="0AA11943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color w:val="000000"/>
          <w:sz w:val="22"/>
          <w:szCs w:val="22"/>
        </w:rPr>
      </w:pPr>
      <w:r w:rsidRPr="00A61367">
        <w:rPr>
          <w:rFonts w:ascii="Cambria" w:hAnsi="Cambria"/>
          <w:b/>
          <w:color w:val="000000"/>
          <w:sz w:val="22"/>
          <w:szCs w:val="22"/>
        </w:rPr>
        <w:t>14. člen</w:t>
      </w:r>
    </w:p>
    <w:p w14:paraId="6152E2A0" w14:textId="77777777" w:rsidR="003D283C" w:rsidRPr="00A61367" w:rsidRDefault="003D283C" w:rsidP="00A61367">
      <w:pPr>
        <w:spacing w:line="260" w:lineRule="exact"/>
        <w:jc w:val="center"/>
        <w:rPr>
          <w:rFonts w:ascii="Cambria" w:hAnsi="Cambria"/>
          <w:color w:val="000000"/>
          <w:sz w:val="22"/>
          <w:szCs w:val="22"/>
        </w:rPr>
      </w:pPr>
    </w:p>
    <w:p w14:paraId="43CCF24F" w14:textId="3165E63B" w:rsidR="003D283C" w:rsidRPr="00A61367" w:rsidRDefault="003D283C" w:rsidP="00A61367">
      <w:pPr>
        <w:spacing w:line="260" w:lineRule="exact"/>
        <w:jc w:val="both"/>
        <w:rPr>
          <w:rFonts w:ascii="Cambria" w:hAnsi="Cambria"/>
          <w:color w:val="000000"/>
          <w:sz w:val="22"/>
          <w:szCs w:val="22"/>
        </w:rPr>
      </w:pPr>
      <w:r w:rsidRPr="00A61367">
        <w:rPr>
          <w:rFonts w:ascii="Cambria" w:hAnsi="Cambria"/>
          <w:color w:val="000000"/>
          <w:sz w:val="22"/>
          <w:szCs w:val="22"/>
        </w:rPr>
        <w:t>Ta pravilnik začne veljati naslednji dan po</w:t>
      </w:r>
      <w:r w:rsidR="006D37DC" w:rsidRPr="00A61367">
        <w:rPr>
          <w:rFonts w:ascii="Cambria" w:hAnsi="Cambria"/>
          <w:color w:val="000000"/>
          <w:sz w:val="22"/>
          <w:szCs w:val="22"/>
        </w:rPr>
        <w:t xml:space="preserve"> objavi v Informatorju RTV Slovenija</w:t>
      </w:r>
      <w:r w:rsidRPr="00A61367">
        <w:rPr>
          <w:rFonts w:ascii="Cambria" w:hAnsi="Cambria"/>
          <w:color w:val="000000"/>
          <w:sz w:val="22"/>
          <w:szCs w:val="22"/>
        </w:rPr>
        <w:t>.</w:t>
      </w:r>
    </w:p>
    <w:p w14:paraId="2878A6E7" w14:textId="77777777" w:rsidR="003D283C" w:rsidRPr="00A61367" w:rsidRDefault="003D283C" w:rsidP="00A61367">
      <w:pPr>
        <w:spacing w:line="260" w:lineRule="exact"/>
        <w:rPr>
          <w:rFonts w:ascii="Cambria" w:hAnsi="Cambria"/>
          <w:color w:val="000000"/>
          <w:sz w:val="22"/>
          <w:szCs w:val="22"/>
        </w:rPr>
      </w:pPr>
    </w:p>
    <w:p w14:paraId="37A7BC77" w14:textId="77777777" w:rsidR="003D283C" w:rsidRPr="00A61367" w:rsidRDefault="003D283C" w:rsidP="00A61367">
      <w:pPr>
        <w:spacing w:line="260" w:lineRule="exact"/>
        <w:rPr>
          <w:rFonts w:ascii="Cambria" w:hAnsi="Cambria"/>
          <w:color w:val="000000"/>
          <w:sz w:val="22"/>
          <w:szCs w:val="22"/>
        </w:rPr>
      </w:pPr>
    </w:p>
    <w:p w14:paraId="5131C1C0" w14:textId="77777777" w:rsidR="003D283C" w:rsidRPr="00A61367" w:rsidRDefault="003D283C" w:rsidP="00A61367">
      <w:pPr>
        <w:spacing w:line="260" w:lineRule="exact"/>
        <w:rPr>
          <w:rFonts w:ascii="Cambria" w:hAnsi="Cambria"/>
          <w:color w:val="000000"/>
          <w:sz w:val="22"/>
          <w:szCs w:val="22"/>
        </w:rPr>
      </w:pPr>
    </w:p>
    <w:p w14:paraId="7228D4B4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p w14:paraId="2374E0D3" w14:textId="77777777" w:rsidR="003D283C" w:rsidRPr="00A61367" w:rsidRDefault="003D283C" w:rsidP="00A61367">
      <w:pPr>
        <w:pStyle w:val="navadentext"/>
        <w:spacing w:line="260" w:lineRule="exact"/>
        <w:rPr>
          <w:rFonts w:ascii="Cambria" w:hAnsi="Cambria"/>
          <w:sz w:val="22"/>
          <w:szCs w:val="22"/>
        </w:rPr>
      </w:pPr>
    </w:p>
    <w:p w14:paraId="55E1B3A0" w14:textId="77777777" w:rsidR="003D283C" w:rsidRPr="00A61367" w:rsidRDefault="003D283C" w:rsidP="00A61367">
      <w:pPr>
        <w:pStyle w:val="navadentext"/>
        <w:spacing w:line="260" w:lineRule="exact"/>
        <w:rPr>
          <w:rFonts w:ascii="Cambria" w:hAnsi="Cambria"/>
          <w:sz w:val="22"/>
          <w:szCs w:val="22"/>
        </w:rPr>
      </w:pPr>
    </w:p>
    <w:p w14:paraId="45083759" w14:textId="77777777" w:rsidR="003D283C" w:rsidRPr="00A61367" w:rsidRDefault="003D283C" w:rsidP="00A61367">
      <w:pPr>
        <w:spacing w:line="260" w:lineRule="exact"/>
        <w:rPr>
          <w:rFonts w:ascii="Cambria" w:hAnsi="Cambria"/>
          <w:sz w:val="22"/>
          <w:szCs w:val="22"/>
        </w:rPr>
      </w:pPr>
    </w:p>
    <w:sectPr w:rsidR="003D283C" w:rsidRPr="00A61367" w:rsidSect="003D283C"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CBB"/>
    <w:multiLevelType w:val="hybridMultilevel"/>
    <w:tmpl w:val="CDDE717A"/>
    <w:lvl w:ilvl="0" w:tplc="45565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144"/>
    <w:multiLevelType w:val="hybridMultilevel"/>
    <w:tmpl w:val="D38E89E2"/>
    <w:lvl w:ilvl="0" w:tplc="23420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7A23"/>
    <w:multiLevelType w:val="hybridMultilevel"/>
    <w:tmpl w:val="7E16AF92"/>
    <w:lvl w:ilvl="0" w:tplc="00F04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604B3"/>
    <w:multiLevelType w:val="hybridMultilevel"/>
    <w:tmpl w:val="BCA6D6D2"/>
    <w:lvl w:ilvl="0" w:tplc="B8DA1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775EA"/>
    <w:multiLevelType w:val="hybridMultilevel"/>
    <w:tmpl w:val="7A9E6538"/>
    <w:lvl w:ilvl="0" w:tplc="6E0C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58CB"/>
    <w:multiLevelType w:val="hybridMultilevel"/>
    <w:tmpl w:val="0C42BCCA"/>
    <w:lvl w:ilvl="0" w:tplc="45FC6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F64F0"/>
    <w:multiLevelType w:val="hybridMultilevel"/>
    <w:tmpl w:val="F588FD6A"/>
    <w:lvl w:ilvl="0" w:tplc="4DE02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72154">
    <w:abstractNumId w:val="0"/>
  </w:num>
  <w:num w:numId="2" w16cid:durableId="2115902539">
    <w:abstractNumId w:val="6"/>
  </w:num>
  <w:num w:numId="3" w16cid:durableId="580532648">
    <w:abstractNumId w:val="1"/>
  </w:num>
  <w:num w:numId="4" w16cid:durableId="2133329491">
    <w:abstractNumId w:val="3"/>
  </w:num>
  <w:num w:numId="5" w16cid:durableId="1337267207">
    <w:abstractNumId w:val="2"/>
  </w:num>
  <w:num w:numId="6" w16cid:durableId="1237016570">
    <w:abstractNumId w:val="4"/>
  </w:num>
  <w:num w:numId="7" w16cid:durableId="1883319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3C"/>
    <w:rsid w:val="000A6A20"/>
    <w:rsid w:val="000F543E"/>
    <w:rsid w:val="00107A66"/>
    <w:rsid w:val="002A60CC"/>
    <w:rsid w:val="00347190"/>
    <w:rsid w:val="003D283C"/>
    <w:rsid w:val="003D673D"/>
    <w:rsid w:val="00523CCF"/>
    <w:rsid w:val="005E733B"/>
    <w:rsid w:val="00626739"/>
    <w:rsid w:val="006D37DC"/>
    <w:rsid w:val="006F5771"/>
    <w:rsid w:val="00755758"/>
    <w:rsid w:val="00772C96"/>
    <w:rsid w:val="00881C7F"/>
    <w:rsid w:val="008A554C"/>
    <w:rsid w:val="0096195B"/>
    <w:rsid w:val="009B1CF3"/>
    <w:rsid w:val="00A61367"/>
    <w:rsid w:val="00A75B67"/>
    <w:rsid w:val="00B719EC"/>
    <w:rsid w:val="00B9025F"/>
    <w:rsid w:val="00BD68D9"/>
    <w:rsid w:val="00C039D9"/>
    <w:rsid w:val="00CE1A49"/>
    <w:rsid w:val="00D4092D"/>
    <w:rsid w:val="00D459EA"/>
    <w:rsid w:val="00D90B2D"/>
    <w:rsid w:val="00EB3A3B"/>
    <w:rsid w:val="00EC3FBE"/>
    <w:rsid w:val="00F07CCD"/>
    <w:rsid w:val="00F3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A34C"/>
  <w15:chartTrackingRefBased/>
  <w15:docId w15:val="{D8F0362D-0F54-4BA6-A632-0CDC6811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3C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8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8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8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8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8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8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3D283C"/>
    <w:pPr>
      <w:spacing w:before="100" w:beforeAutospacing="1" w:after="100" w:afterAutospacing="1"/>
    </w:pPr>
    <w:rPr>
      <w:rFonts w:ascii="Arial" w:hAnsi="Arial" w:cs="Arial"/>
      <w:sz w:val="17"/>
      <w:szCs w:val="17"/>
      <w:lang w:eastAsia="sl-SI"/>
    </w:rPr>
  </w:style>
  <w:style w:type="paragraph" w:customStyle="1" w:styleId="navadentext">
    <w:name w:val="navaden text"/>
    <w:basedOn w:val="Normal"/>
    <w:rsid w:val="003D283C"/>
    <w:rPr>
      <w:color w:val="000000"/>
      <w:sz w:val="24"/>
    </w:rPr>
  </w:style>
  <w:style w:type="paragraph" w:styleId="Revision">
    <w:name w:val="Revision"/>
    <w:hidden/>
    <w:uiPriority w:val="99"/>
    <w:semiHidden/>
    <w:rsid w:val="00EC3FBE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EC3F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F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A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6-01-4500" TargetMode="External"/><Relationship Id="rId13" Type="http://schemas.openxmlformats.org/officeDocument/2006/relationships/hyperlink" Target="https://www.uradni-list.si/glasilo-uradni-list-rs/vsebina/2009-01-0557" TargetMode="External"/><Relationship Id="rId18" Type="http://schemas.openxmlformats.org/officeDocument/2006/relationships/hyperlink" Target="https://www.uradni-list.si/glasilo-uradni-list-rs/vsebina/2006-01-6105" TargetMode="External"/><Relationship Id="rId26" Type="http://schemas.openxmlformats.org/officeDocument/2006/relationships/hyperlink" Target="https://www.uradni-list.si/glasilo-uradni-list-rs/vsebina/2022-01-41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8-01-3515" TargetMode="External"/><Relationship Id="rId7" Type="http://schemas.openxmlformats.org/officeDocument/2006/relationships/hyperlink" Target="https://www.uradni-list.si/glasilo-uradni-list-rs/vsebina/2005-01-4752" TargetMode="External"/><Relationship Id="rId12" Type="http://schemas.openxmlformats.org/officeDocument/2006/relationships/hyperlink" Target="https://www.uradni-list.si/glasilo-uradni-list-rs/vsebina/2025-01-3984" TargetMode="External"/><Relationship Id="rId17" Type="http://schemas.openxmlformats.org/officeDocument/2006/relationships/hyperlink" Target="https://www.uradni-list.si/glasilo-uradni-list-rs/vsebina/2015-01-0198" TargetMode="External"/><Relationship Id="rId25" Type="http://schemas.openxmlformats.org/officeDocument/2006/relationships/hyperlink" Target="https://www.uradni-list.si/glasilo-uradni-list-rs/vsebina/2022-01-2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3-01-1973" TargetMode="External"/><Relationship Id="rId20" Type="http://schemas.openxmlformats.org/officeDocument/2006/relationships/hyperlink" Target="https://www.uradni-list.si/glasilo-uradni-list-rs/vsebina/2017-01-301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radni-list.si/glasilo-uradni-list-rs/vsebina/2005-01-4191" TargetMode="External"/><Relationship Id="rId11" Type="http://schemas.openxmlformats.org/officeDocument/2006/relationships/hyperlink" Target="https://www.uradni-list.si/glasilo-uradni-list-rs/vsebina/2022-01-4192" TargetMode="External"/><Relationship Id="rId24" Type="http://schemas.openxmlformats.org/officeDocument/2006/relationships/hyperlink" Target="https://www.uradni-list.si/glasilo-uradni-list-rs/vsebina/2022-01-20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2-01-2617" TargetMode="External"/><Relationship Id="rId23" Type="http://schemas.openxmlformats.org/officeDocument/2006/relationships/hyperlink" Target="https://www.uradni-list.si/glasilo-uradni-list-rs/vsebina/2021-01-246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4-01-0220" TargetMode="External"/><Relationship Id="rId19" Type="http://schemas.openxmlformats.org/officeDocument/2006/relationships/hyperlink" Target="https://www.uradni-list.si/glasilo-uradni-list-rs/vsebina/2008-01-33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9-01-1133" TargetMode="External"/><Relationship Id="rId14" Type="http://schemas.openxmlformats.org/officeDocument/2006/relationships/hyperlink" Target="https://www.uradni-list.si/glasilo-uradni-list-rs/vsebina/2010-01-5694" TargetMode="External"/><Relationship Id="rId22" Type="http://schemas.openxmlformats.org/officeDocument/2006/relationships/hyperlink" Target="https://www.uradni-list.si/glasilo-uradni-list-rs/vsebina/2021-01-22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EA43-C36B-43E0-BD57-21470C34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Rosandic Petra</dc:creator>
  <cp:keywords/>
  <dc:description/>
  <cp:lastModifiedBy>Rosandic Petra</cp:lastModifiedBy>
  <cp:revision>4</cp:revision>
  <dcterms:created xsi:type="dcterms:W3CDTF">2026-02-16T11:28:00Z</dcterms:created>
  <dcterms:modified xsi:type="dcterms:W3CDTF">2026-02-16T12:00:00Z</dcterms:modified>
</cp:coreProperties>
</file>